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84E" w:rsidRPr="007B284E" w:rsidRDefault="007B284E" w:rsidP="007B284E">
      <w:pPr>
        <w:widowControl/>
        <w:jc w:val="left"/>
        <w:rPr>
          <w:rFonts w:ascii="宋体" w:eastAsia="宋体" w:hAnsi="宋体" w:cs="宋体"/>
          <w:color w:val="0070C0"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color w:val="0070C0"/>
          <w:kern w:val="0"/>
          <w:sz w:val="24"/>
          <w:szCs w:val="24"/>
        </w:rPr>
        <w:t>欧盟体外诊断医疗器械（IVD）资格认定指南精要解读</w:t>
      </w:r>
      <w:r w:rsidRPr="007B284E">
        <w:rPr>
          <w:rFonts w:ascii="MS Gothic" w:eastAsia="MS Gothic" w:hAnsi="MS Gothic" w:cs="MS Gothic"/>
          <w:color w:val="0070C0"/>
          <w:kern w:val="0"/>
          <w:sz w:val="24"/>
          <w:szCs w:val="24"/>
        </w:rPr>
        <w:t>​</w:t>
      </w:r>
    </w:p>
    <w:p w:rsidR="007B284E" w:rsidRPr="007B284E" w:rsidRDefault="007B284E" w:rsidP="007B284E">
      <w:pPr>
        <w:widowControl/>
        <w:jc w:val="left"/>
        <w:rPr>
          <w:rFonts w:ascii="宋体" w:eastAsia="宋体" w:hAnsi="宋体" w:cs="宋体"/>
          <w:color w:val="0070C0"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color w:val="0070C0"/>
          <w:kern w:val="0"/>
          <w:sz w:val="24"/>
          <w:szCs w:val="24"/>
        </w:rPr>
        <w:t>——基于MDCG 2024-11指南文件</w:t>
      </w:r>
      <w:r w:rsidRPr="007B284E">
        <w:rPr>
          <w:rFonts w:ascii="MS Gothic" w:eastAsia="MS Gothic" w:hAnsi="MS Gothic" w:cs="MS Gothic"/>
          <w:color w:val="0070C0"/>
          <w:kern w:val="0"/>
          <w:sz w:val="24"/>
          <w:szCs w:val="24"/>
        </w:rPr>
        <w:t>​</w:t>
      </w:r>
    </w:p>
    <w:p w:rsidR="007B284E" w:rsidRPr="007B284E" w:rsidRDefault="007B284E" w:rsidP="007B284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284E"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B284E" w:rsidRPr="007B284E" w:rsidRDefault="007B284E" w:rsidP="007B284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7B284E">
        <w:rPr>
          <w:rFonts w:ascii="宋体" w:eastAsia="宋体" w:hAnsi="宋体" w:cs="宋体"/>
          <w:b/>
          <w:bCs/>
          <w:kern w:val="0"/>
          <w:sz w:val="27"/>
          <w:szCs w:val="27"/>
        </w:rPr>
        <w:t>一、指南背景与适用范围</w:t>
      </w:r>
      <w:r w:rsidRPr="007B284E">
        <w:rPr>
          <w:rFonts w:ascii="MS Gothic" w:eastAsia="MS Gothic" w:hAnsi="MS Gothic" w:cs="MS Gothic" w:hint="eastAsia"/>
          <w:b/>
          <w:bCs/>
          <w:kern w:val="0"/>
          <w:sz w:val="27"/>
          <w:szCs w:val="27"/>
        </w:rPr>
        <w:t>​</w:t>
      </w:r>
      <w:r w:rsidRPr="007B284E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 </w:t>
      </w:r>
    </w:p>
    <w:p w:rsidR="007B284E" w:rsidRPr="007B284E" w:rsidRDefault="007B284E" w:rsidP="007B284E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1. 发布目的</w:t>
      </w:r>
      <w:r w:rsidRPr="007B284E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7B284E" w:rsidRPr="007B284E" w:rsidRDefault="007B284E" w:rsidP="007B284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284E">
        <w:rPr>
          <w:rFonts w:ascii="宋体" w:eastAsia="宋体" w:hAnsi="宋体" w:cs="宋体"/>
          <w:kern w:val="0"/>
          <w:sz w:val="24"/>
          <w:szCs w:val="24"/>
        </w:rPr>
        <w:t>明确哪些产品属于</w:t>
      </w: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法规(EU) 2017/746（IVDR）</w:t>
      </w:r>
      <w:r w:rsidRPr="007B284E">
        <w:rPr>
          <w:rFonts w:ascii="MS Gothic" w:eastAsia="MS Gothic" w:hAnsi="MS Gothic" w:cs="MS Gothic" w:hint="eastAsia"/>
          <w:kern w:val="0"/>
          <w:sz w:val="24"/>
          <w:szCs w:val="24"/>
        </w:rPr>
        <w:t>​</w:t>
      </w:r>
      <w:r w:rsidRPr="007B284E">
        <w:rPr>
          <w:rFonts w:ascii="宋体" w:eastAsia="宋体" w:hAnsi="宋体" w:cs="宋体"/>
          <w:kern w:val="0"/>
          <w:sz w:val="24"/>
          <w:szCs w:val="24"/>
        </w:rPr>
        <w:t xml:space="preserve"> 管辖的体外诊断医疗器械（IVD）或其附件。</w:t>
      </w:r>
    </w:p>
    <w:p w:rsidR="007B284E" w:rsidRPr="007B284E" w:rsidRDefault="007B284E" w:rsidP="007B284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284E">
        <w:rPr>
          <w:rFonts w:ascii="宋体" w:eastAsia="宋体" w:hAnsi="宋体" w:cs="宋体"/>
          <w:kern w:val="0"/>
          <w:sz w:val="24"/>
          <w:szCs w:val="24"/>
        </w:rPr>
        <w:t>解决IVDR与医疗器械法规（MDR）的</w:t>
      </w: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边界划分问题</w:t>
      </w:r>
      <w:r w:rsidRPr="007B284E">
        <w:rPr>
          <w:rFonts w:ascii="宋体" w:eastAsia="宋体" w:hAnsi="宋体" w:cs="宋体"/>
          <w:kern w:val="0"/>
          <w:sz w:val="24"/>
          <w:szCs w:val="24"/>
        </w:rPr>
        <w:t>，避免监管重叠或遗漏。</w:t>
      </w:r>
    </w:p>
    <w:p w:rsidR="007B284E" w:rsidRPr="007B284E" w:rsidRDefault="007B284E" w:rsidP="007B284E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2. 法律依据</w:t>
      </w:r>
      <w:r w:rsidRPr="007B284E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7B284E" w:rsidRPr="007B284E" w:rsidRDefault="007B284E" w:rsidP="007B284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IVDR第2(2)条</w:t>
      </w:r>
      <w:r w:rsidRPr="007B284E">
        <w:rPr>
          <w:rFonts w:ascii="宋体" w:eastAsia="宋体" w:hAnsi="宋体" w:cs="宋体"/>
          <w:kern w:val="0"/>
          <w:sz w:val="24"/>
          <w:szCs w:val="24"/>
        </w:rPr>
        <w:t>：IVD的定义；</w:t>
      </w:r>
    </w:p>
    <w:p w:rsidR="007B284E" w:rsidRPr="007B284E" w:rsidRDefault="007B284E" w:rsidP="007B284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IVDR第2(4)条</w:t>
      </w:r>
      <w:r w:rsidRPr="007B284E">
        <w:rPr>
          <w:rFonts w:ascii="宋体" w:eastAsia="宋体" w:hAnsi="宋体" w:cs="宋体"/>
          <w:kern w:val="0"/>
          <w:sz w:val="24"/>
          <w:szCs w:val="24"/>
        </w:rPr>
        <w:t>：附件的定义；</w:t>
      </w:r>
    </w:p>
    <w:p w:rsidR="007B284E" w:rsidRPr="007B284E" w:rsidRDefault="007B284E" w:rsidP="007B284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MDR第1条</w:t>
      </w:r>
      <w:r w:rsidRPr="007B284E">
        <w:rPr>
          <w:rFonts w:ascii="宋体" w:eastAsia="宋体" w:hAnsi="宋体" w:cs="宋体"/>
          <w:kern w:val="0"/>
          <w:sz w:val="24"/>
          <w:szCs w:val="24"/>
        </w:rPr>
        <w:t>：明确不适用于IVD（二者互斥）。</w:t>
      </w:r>
    </w:p>
    <w:p w:rsidR="007B284E" w:rsidRPr="007B284E" w:rsidRDefault="007B284E" w:rsidP="007B284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284E">
        <w:rPr>
          <w:rFonts w:ascii="宋体" w:eastAsia="宋体" w:hAnsi="宋体" w:cs="宋体"/>
          <w:kern w:val="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B284E" w:rsidRPr="007B284E" w:rsidRDefault="007B284E" w:rsidP="007B284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7B284E">
        <w:rPr>
          <w:rFonts w:ascii="宋体" w:eastAsia="宋体" w:hAnsi="宋体" w:cs="宋体"/>
          <w:b/>
          <w:bCs/>
          <w:kern w:val="0"/>
          <w:sz w:val="27"/>
          <w:szCs w:val="27"/>
        </w:rPr>
        <w:t>二、IVD的核心认定标准</w:t>
      </w:r>
      <w:r w:rsidRPr="007B284E">
        <w:rPr>
          <w:rFonts w:ascii="MS Gothic" w:eastAsia="MS Gothic" w:hAnsi="MS Gothic" w:cs="MS Gothic" w:hint="eastAsia"/>
          <w:b/>
          <w:bCs/>
          <w:kern w:val="0"/>
          <w:sz w:val="27"/>
          <w:szCs w:val="27"/>
        </w:rPr>
        <w:t>​</w:t>
      </w:r>
      <w:r w:rsidRPr="007B284E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 </w:t>
      </w:r>
    </w:p>
    <w:p w:rsidR="007B284E" w:rsidRPr="007B284E" w:rsidRDefault="007B284E" w:rsidP="007B284E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1. 四大必备特征</w:t>
      </w:r>
      <w:r w:rsidRPr="007B284E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tbl>
      <w:tblPr>
        <w:tblW w:w="920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3159"/>
        <w:gridCol w:w="4354"/>
      </w:tblGrid>
      <w:tr w:rsidR="007B284E" w:rsidRPr="007B284E" w:rsidTr="00A84582">
        <w:trPr>
          <w:tblHeader/>
          <w:tblCellSpacing w:w="15" w:type="dxa"/>
        </w:trPr>
        <w:tc>
          <w:tcPr>
            <w:tcW w:w="1651" w:type="dxa"/>
            <w:vAlign w:val="center"/>
            <w:hideMark/>
          </w:tcPr>
          <w:p w:rsidR="007B284E" w:rsidRPr="007B284E" w:rsidRDefault="007B284E" w:rsidP="007B284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84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特征</w:t>
            </w:r>
            <w:r w:rsidRPr="007B284E">
              <w:rPr>
                <w:rFonts w:ascii="MS Gothic" w:eastAsia="MS Gothic" w:hAnsi="MS Gothic" w:cs="MS Gothic"/>
                <w:b/>
                <w:bCs/>
                <w:kern w:val="0"/>
                <w:sz w:val="24"/>
                <w:szCs w:val="24"/>
              </w:rPr>
              <w:t>​</w:t>
            </w:r>
          </w:p>
        </w:tc>
        <w:tc>
          <w:tcPr>
            <w:tcW w:w="3129" w:type="dxa"/>
            <w:vAlign w:val="center"/>
            <w:hideMark/>
          </w:tcPr>
          <w:p w:rsidR="007B284E" w:rsidRPr="007B284E" w:rsidRDefault="007B284E" w:rsidP="007B284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84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具体要求</w:t>
            </w:r>
            <w:r w:rsidRPr="007B284E">
              <w:rPr>
                <w:rFonts w:ascii="MS Gothic" w:eastAsia="MS Gothic" w:hAnsi="MS Gothic" w:cs="MS Gothic"/>
                <w:b/>
                <w:bCs/>
                <w:kern w:val="0"/>
                <w:sz w:val="24"/>
                <w:szCs w:val="24"/>
              </w:rPr>
              <w:t>​</w:t>
            </w:r>
          </w:p>
        </w:tc>
        <w:tc>
          <w:tcPr>
            <w:tcW w:w="4309" w:type="dxa"/>
            <w:vAlign w:val="center"/>
            <w:hideMark/>
          </w:tcPr>
          <w:p w:rsidR="007B284E" w:rsidRPr="007B284E" w:rsidRDefault="007B284E" w:rsidP="007B284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84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示例</w:t>
            </w:r>
            <w:r w:rsidRPr="007B284E">
              <w:rPr>
                <w:rFonts w:ascii="MS Gothic" w:eastAsia="MS Gothic" w:hAnsi="MS Gothic" w:cs="MS Gothic"/>
                <w:b/>
                <w:bCs/>
                <w:kern w:val="0"/>
                <w:sz w:val="24"/>
                <w:szCs w:val="24"/>
              </w:rPr>
              <w:t>​</w:t>
            </w:r>
          </w:p>
        </w:tc>
      </w:tr>
      <w:tr w:rsidR="007B284E" w:rsidRPr="007B284E" w:rsidTr="00A84582">
        <w:trPr>
          <w:tblCellSpacing w:w="15" w:type="dxa"/>
        </w:trPr>
        <w:tc>
          <w:tcPr>
            <w:tcW w:w="1651" w:type="dxa"/>
            <w:vAlign w:val="center"/>
            <w:hideMark/>
          </w:tcPr>
          <w:p w:rsidR="007B284E" w:rsidRPr="007B284E" w:rsidRDefault="007B284E" w:rsidP="007B28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84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产品形式</w:t>
            </w:r>
            <w:r w:rsidRPr="007B284E">
              <w:rPr>
                <w:rFonts w:ascii="MS Gothic" w:eastAsia="MS Gothic" w:hAnsi="MS Gothic" w:cs="MS Gothic"/>
                <w:kern w:val="0"/>
                <w:sz w:val="24"/>
                <w:szCs w:val="24"/>
              </w:rPr>
              <w:t>​</w:t>
            </w:r>
          </w:p>
        </w:tc>
        <w:tc>
          <w:tcPr>
            <w:tcW w:w="3129" w:type="dxa"/>
            <w:vAlign w:val="center"/>
            <w:hideMark/>
          </w:tcPr>
          <w:p w:rsidR="007B284E" w:rsidRPr="007B284E" w:rsidRDefault="007B284E" w:rsidP="007B28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84E">
              <w:rPr>
                <w:rFonts w:ascii="宋体" w:eastAsia="宋体" w:hAnsi="宋体" w:cs="宋体"/>
                <w:kern w:val="0"/>
                <w:sz w:val="24"/>
                <w:szCs w:val="24"/>
              </w:rPr>
              <w:t>试剂、校准品、控件、仪器、软件、系统等</w:t>
            </w:r>
          </w:p>
        </w:tc>
        <w:tc>
          <w:tcPr>
            <w:tcW w:w="4309" w:type="dxa"/>
            <w:vAlign w:val="center"/>
            <w:hideMark/>
          </w:tcPr>
          <w:p w:rsidR="007B284E" w:rsidRPr="007B284E" w:rsidRDefault="007B284E" w:rsidP="007B28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84E">
              <w:rPr>
                <w:rFonts w:ascii="宋体" w:eastAsia="宋体" w:hAnsi="宋体" w:cs="宋体"/>
                <w:kern w:val="0"/>
                <w:sz w:val="24"/>
                <w:szCs w:val="24"/>
              </w:rPr>
              <w:t>PCR仪、血糖试纸、分析软件</w:t>
            </w:r>
          </w:p>
        </w:tc>
      </w:tr>
      <w:tr w:rsidR="007B284E" w:rsidRPr="007B284E" w:rsidTr="00A84582">
        <w:trPr>
          <w:tblCellSpacing w:w="15" w:type="dxa"/>
        </w:trPr>
        <w:tc>
          <w:tcPr>
            <w:tcW w:w="1651" w:type="dxa"/>
            <w:vAlign w:val="center"/>
            <w:hideMark/>
          </w:tcPr>
          <w:p w:rsidR="007B284E" w:rsidRPr="007B284E" w:rsidRDefault="007B284E" w:rsidP="007B28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84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使用方式</w:t>
            </w:r>
            <w:r w:rsidRPr="007B284E">
              <w:rPr>
                <w:rFonts w:ascii="MS Gothic" w:eastAsia="MS Gothic" w:hAnsi="MS Gothic" w:cs="MS Gothic"/>
                <w:kern w:val="0"/>
                <w:sz w:val="24"/>
                <w:szCs w:val="24"/>
              </w:rPr>
              <w:t>​</w:t>
            </w:r>
          </w:p>
        </w:tc>
        <w:tc>
          <w:tcPr>
            <w:tcW w:w="3129" w:type="dxa"/>
            <w:vAlign w:val="center"/>
            <w:hideMark/>
          </w:tcPr>
          <w:p w:rsidR="007B284E" w:rsidRPr="007B284E" w:rsidRDefault="007B284E" w:rsidP="007B28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84E">
              <w:rPr>
                <w:rFonts w:ascii="宋体" w:eastAsia="宋体" w:hAnsi="宋体" w:cs="宋体"/>
                <w:kern w:val="0"/>
                <w:sz w:val="24"/>
                <w:szCs w:val="24"/>
              </w:rPr>
              <w:t>可单独或组合使用</w:t>
            </w:r>
          </w:p>
        </w:tc>
        <w:tc>
          <w:tcPr>
            <w:tcW w:w="4309" w:type="dxa"/>
            <w:vAlign w:val="center"/>
            <w:hideMark/>
          </w:tcPr>
          <w:p w:rsidR="007B284E" w:rsidRPr="007B284E" w:rsidRDefault="007B284E" w:rsidP="007B28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84E">
              <w:rPr>
                <w:rFonts w:ascii="宋体" w:eastAsia="宋体" w:hAnsi="宋体" w:cs="宋体"/>
                <w:kern w:val="0"/>
                <w:sz w:val="24"/>
                <w:szCs w:val="24"/>
              </w:rPr>
              <w:t>检测系统包含仪器+试剂盒</w:t>
            </w:r>
          </w:p>
        </w:tc>
      </w:tr>
      <w:tr w:rsidR="007B284E" w:rsidRPr="007B284E" w:rsidTr="00A84582">
        <w:trPr>
          <w:tblCellSpacing w:w="15" w:type="dxa"/>
        </w:trPr>
        <w:tc>
          <w:tcPr>
            <w:tcW w:w="1651" w:type="dxa"/>
            <w:vAlign w:val="center"/>
            <w:hideMark/>
          </w:tcPr>
          <w:p w:rsidR="007B284E" w:rsidRPr="007B284E" w:rsidRDefault="007B284E" w:rsidP="007B28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84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检测场景</w:t>
            </w:r>
            <w:r w:rsidRPr="007B284E">
              <w:rPr>
                <w:rFonts w:ascii="MS Gothic" w:eastAsia="MS Gothic" w:hAnsi="MS Gothic" w:cs="MS Gothic"/>
                <w:kern w:val="0"/>
                <w:sz w:val="24"/>
                <w:szCs w:val="24"/>
              </w:rPr>
              <w:t>​</w:t>
            </w:r>
          </w:p>
        </w:tc>
        <w:tc>
          <w:tcPr>
            <w:tcW w:w="3129" w:type="dxa"/>
            <w:vAlign w:val="center"/>
            <w:hideMark/>
          </w:tcPr>
          <w:p w:rsidR="007B284E" w:rsidRPr="007B284E" w:rsidRDefault="007B284E" w:rsidP="007B28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84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离体（in vitro）</w:t>
            </w:r>
            <w:r w:rsidRPr="007B284E">
              <w:rPr>
                <w:rFonts w:ascii="MS Gothic" w:eastAsia="MS Gothic" w:hAnsi="MS Gothic" w:cs="MS Gothic"/>
                <w:kern w:val="0"/>
                <w:sz w:val="24"/>
                <w:szCs w:val="24"/>
              </w:rPr>
              <w:t>​</w:t>
            </w:r>
            <w:r w:rsidRPr="007B284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检测人体来源样本</w:t>
            </w:r>
          </w:p>
        </w:tc>
        <w:tc>
          <w:tcPr>
            <w:tcW w:w="4309" w:type="dxa"/>
            <w:vAlign w:val="center"/>
            <w:hideMark/>
          </w:tcPr>
          <w:p w:rsidR="007B284E" w:rsidRPr="007B284E" w:rsidRDefault="007B284E" w:rsidP="007B28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84E">
              <w:rPr>
                <w:rFonts w:ascii="宋体" w:eastAsia="宋体" w:hAnsi="宋体" w:cs="宋体"/>
                <w:kern w:val="0"/>
                <w:sz w:val="24"/>
                <w:szCs w:val="24"/>
              </w:rPr>
              <w:t>血液、尿液、组织样本检测</w:t>
            </w:r>
          </w:p>
        </w:tc>
      </w:tr>
      <w:tr w:rsidR="007B284E" w:rsidRPr="007B284E" w:rsidTr="00A84582">
        <w:trPr>
          <w:tblCellSpacing w:w="15" w:type="dxa"/>
        </w:trPr>
        <w:tc>
          <w:tcPr>
            <w:tcW w:w="1651" w:type="dxa"/>
            <w:vAlign w:val="center"/>
            <w:hideMark/>
          </w:tcPr>
          <w:p w:rsidR="007B284E" w:rsidRPr="007B284E" w:rsidRDefault="007B284E" w:rsidP="007B28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84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医疗目的</w:t>
            </w:r>
            <w:r w:rsidRPr="007B284E">
              <w:rPr>
                <w:rFonts w:ascii="MS Gothic" w:eastAsia="MS Gothic" w:hAnsi="MS Gothic" w:cs="MS Gothic"/>
                <w:kern w:val="0"/>
                <w:sz w:val="24"/>
                <w:szCs w:val="24"/>
              </w:rPr>
              <w:t>​</w:t>
            </w:r>
          </w:p>
        </w:tc>
        <w:tc>
          <w:tcPr>
            <w:tcW w:w="3129" w:type="dxa"/>
            <w:vAlign w:val="center"/>
            <w:hideMark/>
          </w:tcPr>
          <w:p w:rsidR="007B284E" w:rsidRPr="007B284E" w:rsidRDefault="007B284E" w:rsidP="007B28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84E">
              <w:rPr>
                <w:rFonts w:ascii="宋体" w:eastAsia="宋体" w:hAnsi="宋体" w:cs="宋体"/>
                <w:kern w:val="0"/>
                <w:sz w:val="24"/>
                <w:szCs w:val="24"/>
              </w:rPr>
              <w:t>提供以下任</w:t>
            </w:r>
            <w:proofErr w:type="gramStart"/>
            <w:r w:rsidRPr="007B284E">
              <w:rPr>
                <w:rFonts w:ascii="宋体" w:eastAsia="宋体" w:hAnsi="宋体" w:cs="宋体"/>
                <w:kern w:val="0"/>
                <w:sz w:val="24"/>
                <w:szCs w:val="24"/>
              </w:rPr>
              <w:t>一</w:t>
            </w:r>
            <w:proofErr w:type="gramEnd"/>
            <w:r w:rsidRPr="007B284E">
              <w:rPr>
                <w:rFonts w:ascii="宋体" w:eastAsia="宋体" w:hAnsi="宋体" w:cs="宋体"/>
                <w:kern w:val="0"/>
                <w:sz w:val="24"/>
                <w:szCs w:val="24"/>
              </w:rPr>
              <w:t>信息：</w:t>
            </w:r>
            <w:r w:rsidRPr="007B284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• 生理/病理状态</w:t>
            </w:r>
            <w:r w:rsidRPr="007B284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• 先天性疾病</w:t>
            </w:r>
            <w:r w:rsidRPr="007B284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• 疾病易感性</w:t>
            </w:r>
            <w:r w:rsidRPr="007B284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• 治疗反应预测</w:t>
            </w:r>
            <w:r w:rsidRPr="007B284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• 治疗监测</w:t>
            </w:r>
          </w:p>
        </w:tc>
        <w:tc>
          <w:tcPr>
            <w:tcW w:w="4309" w:type="dxa"/>
            <w:vAlign w:val="center"/>
            <w:hideMark/>
          </w:tcPr>
          <w:p w:rsidR="007B284E" w:rsidRPr="007B284E" w:rsidRDefault="007B284E" w:rsidP="007B28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84E">
              <w:rPr>
                <w:rFonts w:ascii="宋体" w:eastAsia="宋体" w:hAnsi="宋体" w:cs="宋体"/>
                <w:kern w:val="0"/>
                <w:sz w:val="24"/>
                <w:szCs w:val="24"/>
              </w:rPr>
              <w:t>HIV筛查、癌症分期、基因携带者检测</w:t>
            </w:r>
          </w:p>
        </w:tc>
      </w:tr>
    </w:tbl>
    <w:p w:rsidR="007B284E" w:rsidRPr="007B284E" w:rsidRDefault="007B284E" w:rsidP="007B284E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2. 关键排除情形</w:t>
      </w:r>
      <w:r w:rsidRPr="007B284E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7B284E" w:rsidRPr="007B284E" w:rsidRDefault="007B284E" w:rsidP="007B284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无人体</w:t>
      </w:r>
      <w:proofErr w:type="gramEnd"/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样本</w:t>
      </w:r>
      <w:r w:rsidRPr="007B284E">
        <w:rPr>
          <w:rFonts w:ascii="宋体" w:eastAsia="宋体" w:hAnsi="宋体" w:cs="宋体"/>
          <w:kern w:val="0"/>
          <w:sz w:val="24"/>
          <w:szCs w:val="24"/>
        </w:rPr>
        <w:t>：环境检测（如水质分析）、动物诊断（宠物疾病检测）不属于IVD；</w:t>
      </w:r>
    </w:p>
    <w:p w:rsidR="007B284E" w:rsidRPr="007B284E" w:rsidRDefault="007B284E" w:rsidP="007B284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lastRenderedPageBreak/>
        <w:t>体内检测</w:t>
      </w:r>
      <w:r w:rsidRPr="007B284E">
        <w:rPr>
          <w:rFonts w:ascii="宋体" w:eastAsia="宋体" w:hAnsi="宋体" w:cs="宋体"/>
          <w:kern w:val="0"/>
          <w:sz w:val="24"/>
          <w:szCs w:val="24"/>
        </w:rPr>
        <w:t>：脉冲氧合仪、MRI设备属于MDR管辖的医疗器械；</w:t>
      </w:r>
    </w:p>
    <w:p w:rsidR="007B284E" w:rsidRPr="007B284E" w:rsidRDefault="007B284E" w:rsidP="007B284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非医疗目的</w:t>
      </w:r>
      <w:r w:rsidRPr="007B284E">
        <w:rPr>
          <w:rFonts w:ascii="宋体" w:eastAsia="宋体" w:hAnsi="宋体" w:cs="宋体"/>
          <w:kern w:val="0"/>
          <w:sz w:val="24"/>
          <w:szCs w:val="24"/>
        </w:rPr>
        <w:t>： ancestry基因检测、运动表现测试不属于IVD。</w:t>
      </w:r>
    </w:p>
    <w:p w:rsidR="007B284E" w:rsidRPr="007B284E" w:rsidRDefault="007B284E" w:rsidP="007B284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284E">
        <w:rPr>
          <w:rFonts w:ascii="宋体" w:eastAsia="宋体" w:hAnsi="宋体" w:cs="宋体"/>
          <w:kern w:val="0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7B284E" w:rsidRPr="007B284E" w:rsidRDefault="007B284E" w:rsidP="007B284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7B284E">
        <w:rPr>
          <w:rFonts w:ascii="宋体" w:eastAsia="宋体" w:hAnsi="宋体" w:cs="宋体"/>
          <w:b/>
          <w:bCs/>
          <w:kern w:val="0"/>
          <w:sz w:val="27"/>
          <w:szCs w:val="27"/>
        </w:rPr>
        <w:t>三、特殊产品的资格认定规则</w:t>
      </w:r>
      <w:r w:rsidRPr="007B284E">
        <w:rPr>
          <w:rFonts w:ascii="MS Gothic" w:eastAsia="MS Gothic" w:hAnsi="MS Gothic" w:cs="MS Gothic" w:hint="eastAsia"/>
          <w:b/>
          <w:bCs/>
          <w:kern w:val="0"/>
          <w:sz w:val="27"/>
          <w:szCs w:val="27"/>
        </w:rPr>
        <w:t>​</w:t>
      </w:r>
      <w:r w:rsidRPr="007B284E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 </w:t>
      </w:r>
    </w:p>
    <w:p w:rsidR="007B284E" w:rsidRPr="007B284E" w:rsidRDefault="007B284E" w:rsidP="007B284E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1. 附件（Accessories）</w:t>
      </w:r>
      <w:r w:rsidRPr="007B284E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7B284E" w:rsidRPr="007B284E" w:rsidRDefault="007B284E" w:rsidP="007B284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定义</w:t>
      </w:r>
      <w:r w:rsidRPr="007B284E">
        <w:rPr>
          <w:rFonts w:ascii="宋体" w:eastAsia="宋体" w:hAnsi="宋体" w:cs="宋体"/>
          <w:kern w:val="0"/>
          <w:sz w:val="24"/>
          <w:szCs w:val="24"/>
        </w:rPr>
        <w:t>：非IVD本身，但与特定IVD配合使用以实现其医疗功能的产品；</w:t>
      </w:r>
    </w:p>
    <w:p w:rsidR="007B284E" w:rsidRPr="007B284E" w:rsidRDefault="007B284E" w:rsidP="007B284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示例</w:t>
      </w:r>
      <w:r w:rsidRPr="007B284E">
        <w:rPr>
          <w:rFonts w:ascii="宋体" w:eastAsia="宋体" w:hAnsi="宋体" w:cs="宋体"/>
          <w:kern w:val="0"/>
          <w:sz w:val="24"/>
          <w:szCs w:val="24"/>
        </w:rPr>
        <w:t>：专用清洗液、与自动化仪器配套的耗材；</w:t>
      </w:r>
    </w:p>
    <w:p w:rsidR="007B284E" w:rsidRPr="007B284E" w:rsidRDefault="007B284E" w:rsidP="007B284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监管要求</w:t>
      </w:r>
      <w:r w:rsidRPr="007B284E">
        <w:rPr>
          <w:rFonts w:ascii="宋体" w:eastAsia="宋体" w:hAnsi="宋体" w:cs="宋体"/>
          <w:kern w:val="0"/>
          <w:sz w:val="24"/>
          <w:szCs w:val="24"/>
        </w:rPr>
        <w:t>：需符合IVDR对附件的全部要求。</w:t>
      </w:r>
    </w:p>
    <w:p w:rsidR="007B284E" w:rsidRPr="007B284E" w:rsidRDefault="007B284E" w:rsidP="007B284E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2. 样本容器（Specimen Receptacles）</w:t>
      </w:r>
      <w:r w:rsidRPr="007B284E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7B284E" w:rsidRPr="007B284E" w:rsidRDefault="007B284E" w:rsidP="007B284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自动视为IVD</w:t>
      </w:r>
      <w:r w:rsidRPr="007B284E">
        <w:rPr>
          <w:rFonts w:ascii="宋体" w:eastAsia="宋体" w:hAnsi="宋体" w:cs="宋体"/>
          <w:kern w:val="0"/>
          <w:sz w:val="24"/>
          <w:szCs w:val="24"/>
        </w:rPr>
        <w:t>：直接接触人体样本并用于保存的容器（如采血管、尿杯）；</w:t>
      </w:r>
    </w:p>
    <w:p w:rsidR="007B284E" w:rsidRPr="007B284E" w:rsidRDefault="007B284E" w:rsidP="007B284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非IVD情形</w:t>
      </w:r>
      <w:r w:rsidRPr="007B284E">
        <w:rPr>
          <w:rFonts w:ascii="宋体" w:eastAsia="宋体" w:hAnsi="宋体" w:cs="宋体"/>
          <w:kern w:val="0"/>
          <w:sz w:val="24"/>
          <w:szCs w:val="24"/>
        </w:rPr>
        <w:t>：分析过程中使用的通用实验室器皿（如移液管、培养皿）。</w:t>
      </w:r>
    </w:p>
    <w:p w:rsidR="007B284E" w:rsidRPr="007B284E" w:rsidRDefault="007B284E" w:rsidP="007B284E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3. 组合产品</w:t>
      </w:r>
      <w:r w:rsidRPr="007B284E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2"/>
        <w:gridCol w:w="2850"/>
        <w:gridCol w:w="4465"/>
      </w:tblGrid>
      <w:tr w:rsidR="007B284E" w:rsidRPr="007B284E" w:rsidTr="00A8458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284E" w:rsidRPr="007B284E" w:rsidRDefault="007B284E" w:rsidP="007B284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84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组合类型</w:t>
            </w:r>
            <w:r w:rsidRPr="007B284E">
              <w:rPr>
                <w:rFonts w:ascii="MS Gothic" w:eastAsia="MS Gothic" w:hAnsi="MS Gothic" w:cs="MS Gothic"/>
                <w:b/>
                <w:bCs/>
                <w:kern w:val="0"/>
                <w:sz w:val="24"/>
                <w:szCs w:val="24"/>
              </w:rPr>
              <w:t>​</w:t>
            </w:r>
          </w:p>
        </w:tc>
        <w:tc>
          <w:tcPr>
            <w:tcW w:w="0" w:type="auto"/>
            <w:vAlign w:val="center"/>
            <w:hideMark/>
          </w:tcPr>
          <w:p w:rsidR="007B284E" w:rsidRPr="007B284E" w:rsidRDefault="007B284E" w:rsidP="007B284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84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监管归属</w:t>
            </w:r>
            <w:r w:rsidRPr="007B284E">
              <w:rPr>
                <w:rFonts w:ascii="MS Gothic" w:eastAsia="MS Gothic" w:hAnsi="MS Gothic" w:cs="MS Gothic"/>
                <w:b/>
                <w:bCs/>
                <w:kern w:val="0"/>
                <w:sz w:val="24"/>
                <w:szCs w:val="24"/>
              </w:rPr>
              <w:t>​</w:t>
            </w:r>
          </w:p>
        </w:tc>
        <w:tc>
          <w:tcPr>
            <w:tcW w:w="4420" w:type="dxa"/>
            <w:vAlign w:val="center"/>
            <w:hideMark/>
          </w:tcPr>
          <w:p w:rsidR="007B284E" w:rsidRPr="007B284E" w:rsidRDefault="007B284E" w:rsidP="007B284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84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示例</w:t>
            </w:r>
            <w:r w:rsidRPr="007B284E">
              <w:rPr>
                <w:rFonts w:ascii="MS Gothic" w:eastAsia="MS Gothic" w:hAnsi="MS Gothic" w:cs="MS Gothic"/>
                <w:b/>
                <w:bCs/>
                <w:kern w:val="0"/>
                <w:sz w:val="24"/>
                <w:szCs w:val="24"/>
              </w:rPr>
              <w:t>​</w:t>
            </w:r>
          </w:p>
        </w:tc>
      </w:tr>
      <w:tr w:rsidR="007B284E" w:rsidRPr="007B284E" w:rsidTr="00A845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84E" w:rsidRPr="007B284E" w:rsidRDefault="007B284E" w:rsidP="007B28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84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IVD试剂盒</w:t>
            </w:r>
            <w:r w:rsidRPr="007B284E">
              <w:rPr>
                <w:rFonts w:ascii="MS Gothic" w:eastAsia="MS Gothic" w:hAnsi="MS Gothic" w:cs="MS Gothic"/>
                <w:kern w:val="0"/>
                <w:sz w:val="24"/>
                <w:szCs w:val="24"/>
              </w:rPr>
              <w:t>​</w:t>
            </w:r>
          </w:p>
        </w:tc>
        <w:tc>
          <w:tcPr>
            <w:tcW w:w="0" w:type="auto"/>
            <w:vAlign w:val="center"/>
            <w:hideMark/>
          </w:tcPr>
          <w:p w:rsidR="007B284E" w:rsidRPr="007B284E" w:rsidRDefault="007B284E" w:rsidP="007B28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84E">
              <w:rPr>
                <w:rFonts w:ascii="宋体" w:eastAsia="宋体" w:hAnsi="宋体" w:cs="宋体"/>
                <w:kern w:val="0"/>
                <w:sz w:val="24"/>
                <w:szCs w:val="24"/>
              </w:rPr>
              <w:t>IVDR管辖</w:t>
            </w:r>
          </w:p>
        </w:tc>
        <w:tc>
          <w:tcPr>
            <w:tcW w:w="4420" w:type="dxa"/>
            <w:vAlign w:val="center"/>
            <w:hideMark/>
          </w:tcPr>
          <w:p w:rsidR="007B284E" w:rsidRPr="007B284E" w:rsidRDefault="007B284E" w:rsidP="007B28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84E">
              <w:rPr>
                <w:rFonts w:ascii="宋体" w:eastAsia="宋体" w:hAnsi="宋体" w:cs="宋体"/>
                <w:kern w:val="0"/>
                <w:sz w:val="24"/>
                <w:szCs w:val="24"/>
              </w:rPr>
              <w:t>包含试剂、容器的检测</w:t>
            </w:r>
            <w:r w:rsidR="00A845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试剂盒</w:t>
            </w:r>
          </w:p>
        </w:tc>
      </w:tr>
      <w:tr w:rsidR="007B284E" w:rsidRPr="007B284E" w:rsidTr="00A845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84E" w:rsidRPr="007B284E" w:rsidRDefault="007B284E" w:rsidP="007B28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B284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含医疗</w:t>
            </w:r>
            <w:proofErr w:type="gramEnd"/>
            <w:r w:rsidRPr="007B284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器械的组合</w:t>
            </w:r>
            <w:r w:rsidRPr="007B284E">
              <w:rPr>
                <w:rFonts w:ascii="MS Gothic" w:eastAsia="MS Gothic" w:hAnsi="MS Gothic" w:cs="MS Gothic"/>
                <w:kern w:val="0"/>
                <w:sz w:val="24"/>
                <w:szCs w:val="24"/>
              </w:rPr>
              <w:t>​</w:t>
            </w:r>
          </w:p>
        </w:tc>
        <w:tc>
          <w:tcPr>
            <w:tcW w:w="0" w:type="auto"/>
            <w:vAlign w:val="center"/>
            <w:hideMark/>
          </w:tcPr>
          <w:p w:rsidR="007B284E" w:rsidRPr="007B284E" w:rsidRDefault="007B284E" w:rsidP="007B28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84E">
              <w:rPr>
                <w:rFonts w:ascii="宋体" w:eastAsia="宋体" w:hAnsi="宋体" w:cs="宋体"/>
                <w:kern w:val="0"/>
                <w:sz w:val="24"/>
                <w:szCs w:val="24"/>
              </w:rPr>
              <w:t>MDR管辖（主体为医疗器械时）</w:t>
            </w:r>
          </w:p>
        </w:tc>
        <w:tc>
          <w:tcPr>
            <w:tcW w:w="4420" w:type="dxa"/>
            <w:vAlign w:val="center"/>
            <w:hideMark/>
          </w:tcPr>
          <w:p w:rsidR="007B284E" w:rsidRPr="007B284E" w:rsidRDefault="007B284E" w:rsidP="007B28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84E">
              <w:rPr>
                <w:rFonts w:ascii="宋体" w:eastAsia="宋体" w:hAnsi="宋体" w:cs="宋体"/>
                <w:kern w:val="0"/>
                <w:sz w:val="24"/>
                <w:szCs w:val="24"/>
              </w:rPr>
              <w:t>集成试剂的唾液采集器</w:t>
            </w:r>
          </w:p>
        </w:tc>
      </w:tr>
      <w:tr w:rsidR="007B284E" w:rsidRPr="007B284E" w:rsidTr="00A845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84E" w:rsidRPr="007B284E" w:rsidRDefault="007B284E" w:rsidP="007B28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84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药品+IVD组合</w:t>
            </w:r>
            <w:r w:rsidRPr="007B284E">
              <w:rPr>
                <w:rFonts w:ascii="MS Gothic" w:eastAsia="MS Gothic" w:hAnsi="MS Gothic" w:cs="MS Gothic"/>
                <w:kern w:val="0"/>
                <w:sz w:val="24"/>
                <w:szCs w:val="24"/>
              </w:rPr>
              <w:t>​</w:t>
            </w:r>
          </w:p>
        </w:tc>
        <w:tc>
          <w:tcPr>
            <w:tcW w:w="0" w:type="auto"/>
            <w:vAlign w:val="center"/>
            <w:hideMark/>
          </w:tcPr>
          <w:p w:rsidR="007B284E" w:rsidRPr="007B284E" w:rsidRDefault="007B284E" w:rsidP="007B28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84E">
              <w:rPr>
                <w:rFonts w:ascii="宋体" w:eastAsia="宋体" w:hAnsi="宋体" w:cs="宋体"/>
                <w:kern w:val="0"/>
                <w:sz w:val="24"/>
                <w:szCs w:val="24"/>
              </w:rPr>
              <w:t>分别适用药品和IVDR法规</w:t>
            </w:r>
          </w:p>
        </w:tc>
        <w:tc>
          <w:tcPr>
            <w:tcW w:w="4420" w:type="dxa"/>
            <w:vAlign w:val="center"/>
            <w:hideMark/>
          </w:tcPr>
          <w:p w:rsidR="007B284E" w:rsidRPr="007B284E" w:rsidRDefault="007B284E" w:rsidP="007B28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84E">
              <w:rPr>
                <w:rFonts w:ascii="宋体" w:eastAsia="宋体" w:hAnsi="宋体" w:cs="宋体"/>
                <w:kern w:val="0"/>
                <w:sz w:val="24"/>
                <w:szCs w:val="24"/>
              </w:rPr>
              <w:t>幽门螺杆</w:t>
            </w:r>
            <w:proofErr w:type="gramStart"/>
            <w:r w:rsidRPr="007B284E">
              <w:rPr>
                <w:rFonts w:ascii="宋体" w:eastAsia="宋体" w:hAnsi="宋体" w:cs="宋体"/>
                <w:kern w:val="0"/>
                <w:sz w:val="24"/>
                <w:szCs w:val="24"/>
              </w:rPr>
              <w:t>菌</w:t>
            </w:r>
            <w:proofErr w:type="gramEnd"/>
            <w:r w:rsidRPr="007B284E">
              <w:rPr>
                <w:rFonts w:ascii="宋体" w:eastAsia="宋体" w:hAnsi="宋体" w:cs="宋体"/>
                <w:kern w:val="0"/>
                <w:sz w:val="24"/>
                <w:szCs w:val="24"/>
              </w:rPr>
              <w:t>检测</w:t>
            </w:r>
            <w:r w:rsidR="00A845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试剂盒</w:t>
            </w:r>
            <w:r w:rsidRPr="007B284E">
              <w:rPr>
                <w:rFonts w:ascii="宋体" w:eastAsia="宋体" w:hAnsi="宋体" w:cs="宋体"/>
                <w:kern w:val="0"/>
                <w:sz w:val="24"/>
                <w:szCs w:val="24"/>
              </w:rPr>
              <w:t>（含标记尿素药品）</w:t>
            </w:r>
          </w:p>
        </w:tc>
      </w:tr>
    </w:tbl>
    <w:p w:rsidR="007B284E" w:rsidRPr="007B284E" w:rsidRDefault="007B284E" w:rsidP="007B284E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4. 软件（Software）</w:t>
      </w:r>
      <w:r w:rsidRPr="007B284E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7B284E" w:rsidRPr="007B284E" w:rsidRDefault="007B284E" w:rsidP="007B284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IVD软件</w:t>
      </w:r>
      <w:r w:rsidRPr="007B284E">
        <w:rPr>
          <w:rFonts w:ascii="宋体" w:eastAsia="宋体" w:hAnsi="宋体" w:cs="宋体"/>
          <w:kern w:val="0"/>
          <w:sz w:val="24"/>
          <w:szCs w:val="24"/>
        </w:rPr>
        <w:t>：基于其他IVD数据提供医疗信息的软件（如数据分析平台）；</w:t>
      </w:r>
    </w:p>
    <w:p w:rsidR="007B284E" w:rsidRPr="007B284E" w:rsidRDefault="007B284E" w:rsidP="007B284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认定依据</w:t>
      </w:r>
      <w:r w:rsidRPr="007B284E">
        <w:rPr>
          <w:rFonts w:ascii="宋体" w:eastAsia="宋体" w:hAnsi="宋体" w:cs="宋体"/>
          <w:kern w:val="0"/>
          <w:sz w:val="24"/>
          <w:szCs w:val="24"/>
        </w:rPr>
        <w:t>：参考MDCG 2019-11指南。</w:t>
      </w:r>
    </w:p>
    <w:p w:rsidR="007B284E" w:rsidRPr="007B284E" w:rsidRDefault="007B284E" w:rsidP="007B284E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5. 校准品与控件（Calibrators &amp; Controls）</w:t>
      </w:r>
      <w:r w:rsidRPr="007B284E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7B284E" w:rsidRPr="007B284E" w:rsidRDefault="007B284E" w:rsidP="007B284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属于IVD</w:t>
      </w:r>
      <w:r w:rsidRPr="007B284E">
        <w:rPr>
          <w:rFonts w:ascii="宋体" w:eastAsia="宋体" w:hAnsi="宋体" w:cs="宋体"/>
          <w:kern w:val="0"/>
          <w:sz w:val="24"/>
          <w:szCs w:val="24"/>
        </w:rPr>
        <w:t>：用于设备校准或性能验证；</w:t>
      </w:r>
    </w:p>
    <w:p w:rsidR="007B284E" w:rsidRPr="007B284E" w:rsidRDefault="007B284E" w:rsidP="007B284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豁免情形</w:t>
      </w:r>
      <w:r w:rsidRPr="007B284E">
        <w:rPr>
          <w:rFonts w:ascii="宋体" w:eastAsia="宋体" w:hAnsi="宋体" w:cs="宋体"/>
          <w:kern w:val="0"/>
          <w:sz w:val="24"/>
          <w:szCs w:val="24"/>
        </w:rPr>
        <w:t>：国际认证的参考物质、</w:t>
      </w:r>
      <w:proofErr w:type="gramStart"/>
      <w:r w:rsidRPr="007B284E">
        <w:rPr>
          <w:rFonts w:ascii="宋体" w:eastAsia="宋体" w:hAnsi="宋体" w:cs="宋体"/>
          <w:kern w:val="0"/>
          <w:sz w:val="24"/>
          <w:szCs w:val="24"/>
        </w:rPr>
        <w:t>外部质评</w:t>
      </w:r>
      <w:proofErr w:type="gramEnd"/>
      <w:r w:rsidRPr="007B284E">
        <w:rPr>
          <w:rFonts w:ascii="宋体" w:eastAsia="宋体" w:hAnsi="宋体" w:cs="宋体"/>
          <w:kern w:val="0"/>
          <w:sz w:val="24"/>
          <w:szCs w:val="24"/>
        </w:rPr>
        <w:t>材料。</w:t>
      </w:r>
    </w:p>
    <w:p w:rsidR="007B284E" w:rsidRPr="007B284E" w:rsidRDefault="007B284E" w:rsidP="007B284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284E">
        <w:rPr>
          <w:rFonts w:ascii="宋体" w:eastAsia="宋体" w:hAnsi="宋体" w:cs="宋体"/>
          <w:kern w:val="0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7B284E" w:rsidRPr="007B284E" w:rsidRDefault="007B284E" w:rsidP="007B284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7B284E">
        <w:rPr>
          <w:rFonts w:ascii="宋体" w:eastAsia="宋体" w:hAnsi="宋体" w:cs="宋体"/>
          <w:b/>
          <w:bCs/>
          <w:kern w:val="0"/>
          <w:sz w:val="27"/>
          <w:szCs w:val="27"/>
        </w:rPr>
        <w:t>四、边界案例与争议场景</w:t>
      </w:r>
      <w:r w:rsidRPr="007B284E">
        <w:rPr>
          <w:rFonts w:ascii="MS Gothic" w:eastAsia="MS Gothic" w:hAnsi="MS Gothic" w:cs="MS Gothic" w:hint="eastAsia"/>
          <w:b/>
          <w:bCs/>
          <w:kern w:val="0"/>
          <w:sz w:val="27"/>
          <w:szCs w:val="27"/>
        </w:rPr>
        <w:t>​</w:t>
      </w:r>
      <w:r w:rsidRPr="007B284E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 </w:t>
      </w:r>
    </w:p>
    <w:p w:rsidR="007B284E" w:rsidRPr="007B284E" w:rsidRDefault="007B284E" w:rsidP="007B284E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lastRenderedPageBreak/>
        <w:t>1. 研发专用产品（RUO）</w:t>
      </w:r>
      <w:r w:rsidRPr="007B284E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7B284E" w:rsidRPr="007B284E" w:rsidRDefault="007B284E" w:rsidP="007B284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不属于IVD</w:t>
      </w:r>
      <w:r w:rsidRPr="007B284E">
        <w:rPr>
          <w:rFonts w:ascii="宋体" w:eastAsia="宋体" w:hAnsi="宋体" w:cs="宋体"/>
          <w:kern w:val="0"/>
          <w:sz w:val="24"/>
          <w:szCs w:val="24"/>
        </w:rPr>
        <w:t>：明确仅用于研究的产物（需标注“Research Use Only”）；</w:t>
      </w:r>
    </w:p>
    <w:p w:rsidR="007B284E" w:rsidRPr="007B284E" w:rsidRDefault="007B284E" w:rsidP="007B284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风险</w:t>
      </w:r>
      <w:r w:rsidRPr="007B284E">
        <w:rPr>
          <w:rFonts w:ascii="宋体" w:eastAsia="宋体" w:hAnsi="宋体" w:cs="宋体"/>
          <w:kern w:val="0"/>
          <w:sz w:val="24"/>
          <w:szCs w:val="24"/>
        </w:rPr>
        <w:t>：若实际流向临床使用，制造商需承担违规责任。</w:t>
      </w:r>
    </w:p>
    <w:p w:rsidR="007B284E" w:rsidRPr="007B284E" w:rsidRDefault="007B284E" w:rsidP="007B284E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2. 通用实验室产品</w:t>
      </w:r>
      <w:r w:rsidRPr="007B284E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7B284E" w:rsidRPr="007B284E" w:rsidRDefault="007B284E" w:rsidP="007B284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非IVD</w:t>
      </w:r>
      <w:r w:rsidRPr="007B284E">
        <w:rPr>
          <w:rFonts w:ascii="宋体" w:eastAsia="宋体" w:hAnsi="宋体" w:cs="宋体"/>
          <w:kern w:val="0"/>
          <w:sz w:val="24"/>
          <w:szCs w:val="24"/>
        </w:rPr>
        <w:t>：</w:t>
      </w:r>
      <w:proofErr w:type="gramStart"/>
      <w:r w:rsidRPr="007B284E">
        <w:rPr>
          <w:rFonts w:ascii="宋体" w:eastAsia="宋体" w:hAnsi="宋体" w:cs="宋体"/>
          <w:kern w:val="0"/>
          <w:sz w:val="24"/>
          <w:szCs w:val="24"/>
        </w:rPr>
        <w:t>移液器</w:t>
      </w:r>
      <w:proofErr w:type="gramEnd"/>
      <w:r w:rsidRPr="007B284E">
        <w:rPr>
          <w:rFonts w:ascii="宋体" w:eastAsia="宋体" w:hAnsi="宋体" w:cs="宋体"/>
          <w:kern w:val="0"/>
          <w:sz w:val="24"/>
          <w:szCs w:val="24"/>
        </w:rPr>
        <w:t>、离心机、通用培养皿等；</w:t>
      </w:r>
    </w:p>
    <w:p w:rsidR="007B284E" w:rsidRPr="007B284E" w:rsidRDefault="007B284E" w:rsidP="007B284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转化为IVD的条件</w:t>
      </w:r>
      <w:r w:rsidRPr="007B284E">
        <w:rPr>
          <w:rFonts w:ascii="宋体" w:eastAsia="宋体" w:hAnsi="宋体" w:cs="宋体"/>
          <w:kern w:val="0"/>
          <w:sz w:val="24"/>
          <w:szCs w:val="24"/>
        </w:rPr>
        <w:t>：制造商明确指定其用于IVD检测。</w:t>
      </w:r>
    </w:p>
    <w:p w:rsidR="007B284E" w:rsidRPr="007B284E" w:rsidRDefault="007B284E" w:rsidP="007B284E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3. 非医疗场景检测</w:t>
      </w:r>
      <w:r w:rsidRPr="007B284E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7B284E" w:rsidRPr="007B284E" w:rsidRDefault="007B284E" w:rsidP="007B284E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执法检测</w:t>
      </w:r>
      <w:r w:rsidRPr="007B284E">
        <w:rPr>
          <w:rFonts w:ascii="宋体" w:eastAsia="宋体" w:hAnsi="宋体" w:cs="宋体"/>
          <w:kern w:val="0"/>
          <w:sz w:val="24"/>
          <w:szCs w:val="24"/>
        </w:rPr>
        <w:t>：酒精/毒品检测仪（执法用途不属于IVD）；</w:t>
      </w:r>
    </w:p>
    <w:p w:rsidR="007B284E" w:rsidRPr="007B284E" w:rsidRDefault="007B284E" w:rsidP="007B284E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生物战剂检测</w:t>
      </w:r>
      <w:r w:rsidRPr="007B284E">
        <w:rPr>
          <w:rFonts w:ascii="宋体" w:eastAsia="宋体" w:hAnsi="宋体" w:cs="宋体"/>
          <w:kern w:val="0"/>
          <w:sz w:val="24"/>
          <w:szCs w:val="24"/>
        </w:rPr>
        <w:t>：环境样本检测不属于IVD。</w:t>
      </w:r>
    </w:p>
    <w:p w:rsidR="007B284E" w:rsidRPr="007B284E" w:rsidRDefault="007B284E" w:rsidP="007B284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284E">
        <w:rPr>
          <w:rFonts w:ascii="宋体" w:eastAsia="宋体" w:hAnsi="宋体" w:cs="宋体"/>
          <w:kern w:val="0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7B284E" w:rsidRPr="007B284E" w:rsidRDefault="007B284E" w:rsidP="007B284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7B284E">
        <w:rPr>
          <w:rFonts w:ascii="宋体" w:eastAsia="宋体" w:hAnsi="宋体" w:cs="宋体"/>
          <w:b/>
          <w:bCs/>
          <w:kern w:val="0"/>
          <w:sz w:val="27"/>
          <w:szCs w:val="27"/>
        </w:rPr>
        <w:t>五、制造商操作指南</w:t>
      </w:r>
      <w:r w:rsidRPr="007B284E">
        <w:rPr>
          <w:rFonts w:ascii="MS Gothic" w:eastAsia="MS Gothic" w:hAnsi="MS Gothic" w:cs="MS Gothic" w:hint="eastAsia"/>
          <w:b/>
          <w:bCs/>
          <w:kern w:val="0"/>
          <w:sz w:val="27"/>
          <w:szCs w:val="27"/>
        </w:rPr>
        <w:t>​</w:t>
      </w:r>
      <w:r w:rsidRPr="007B284E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 </w:t>
      </w:r>
    </w:p>
    <w:p w:rsidR="007B284E" w:rsidRPr="007B284E" w:rsidRDefault="007B284E" w:rsidP="007B284E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1. 资格认定流程</w:t>
      </w:r>
      <w:r w:rsidRPr="007B284E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7B284E" w:rsidRPr="007B284E" w:rsidRDefault="007B284E" w:rsidP="007B284E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审查产品预期用途</w:t>
      </w:r>
      <w:r w:rsidRPr="007B284E">
        <w:rPr>
          <w:rFonts w:ascii="宋体" w:eastAsia="宋体" w:hAnsi="宋体" w:cs="宋体"/>
          <w:kern w:val="0"/>
          <w:sz w:val="24"/>
          <w:szCs w:val="24"/>
        </w:rPr>
        <w:t>：根据标签、说明书、宣传材料判断是否涉及医疗目的；</w:t>
      </w:r>
    </w:p>
    <w:p w:rsidR="007B284E" w:rsidRPr="007B284E" w:rsidRDefault="007B284E" w:rsidP="007B284E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匹配IVDR定义</w:t>
      </w:r>
      <w:r w:rsidRPr="007B284E">
        <w:rPr>
          <w:rFonts w:ascii="宋体" w:eastAsia="宋体" w:hAnsi="宋体" w:cs="宋体"/>
          <w:kern w:val="0"/>
          <w:sz w:val="24"/>
          <w:szCs w:val="24"/>
        </w:rPr>
        <w:t>：确认是否满足“离体检测+人体样本+医疗信息提供”；</w:t>
      </w:r>
    </w:p>
    <w:p w:rsidR="007B284E" w:rsidRPr="007B284E" w:rsidRDefault="007B284E" w:rsidP="007B284E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处理多用途产品</w:t>
      </w:r>
      <w:r w:rsidRPr="007B284E">
        <w:rPr>
          <w:rFonts w:ascii="宋体" w:eastAsia="宋体" w:hAnsi="宋体" w:cs="宋体"/>
          <w:kern w:val="0"/>
          <w:sz w:val="24"/>
          <w:szCs w:val="24"/>
        </w:rPr>
        <w:t>：只要有一个用途符合IVD定义，即需全面符合IVDR。</w:t>
      </w:r>
    </w:p>
    <w:p w:rsidR="007B284E" w:rsidRPr="007B284E" w:rsidRDefault="007B284E" w:rsidP="007B284E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2. 常见误区避免</w:t>
      </w:r>
      <w:r w:rsidRPr="007B284E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7B284E" w:rsidRPr="007B284E" w:rsidRDefault="007B284E" w:rsidP="007B284E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标签声称无效</w:t>
      </w:r>
      <w:r w:rsidRPr="007B284E">
        <w:rPr>
          <w:rFonts w:ascii="宋体" w:eastAsia="宋体" w:hAnsi="宋体" w:cs="宋体"/>
          <w:kern w:val="0"/>
          <w:sz w:val="24"/>
          <w:szCs w:val="24"/>
        </w:rPr>
        <w:t>：仅标注“供体外诊断使用”不足以认定为IVD；</w:t>
      </w:r>
    </w:p>
    <w:p w:rsidR="007B284E" w:rsidRPr="007B284E" w:rsidRDefault="007B284E" w:rsidP="007B284E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目的优先原则</w:t>
      </w:r>
      <w:r w:rsidRPr="007B284E">
        <w:rPr>
          <w:rFonts w:ascii="宋体" w:eastAsia="宋体" w:hAnsi="宋体" w:cs="宋体"/>
          <w:kern w:val="0"/>
          <w:sz w:val="24"/>
          <w:szCs w:val="24"/>
        </w:rPr>
        <w:t>：相同检测项目可能因用途不同而归属不同法规（如基因检测用于疾病诊断属IVD，用于祖</w:t>
      </w:r>
      <w:proofErr w:type="gramStart"/>
      <w:r w:rsidRPr="007B284E">
        <w:rPr>
          <w:rFonts w:ascii="宋体" w:eastAsia="宋体" w:hAnsi="宋体" w:cs="宋体"/>
          <w:kern w:val="0"/>
          <w:sz w:val="24"/>
          <w:szCs w:val="24"/>
        </w:rPr>
        <w:t>源分析</w:t>
      </w:r>
      <w:proofErr w:type="gramEnd"/>
      <w:r w:rsidRPr="007B284E">
        <w:rPr>
          <w:rFonts w:ascii="宋体" w:eastAsia="宋体" w:hAnsi="宋体" w:cs="宋体"/>
          <w:kern w:val="0"/>
          <w:sz w:val="24"/>
          <w:szCs w:val="24"/>
        </w:rPr>
        <w:t>则否）。</w:t>
      </w:r>
    </w:p>
    <w:p w:rsidR="007B284E" w:rsidRPr="007B284E" w:rsidRDefault="007B284E" w:rsidP="007B284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284E">
        <w:rPr>
          <w:rFonts w:ascii="宋体" w:eastAsia="宋体" w:hAnsi="宋体" w:cs="宋体"/>
          <w:kern w:val="0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7B284E" w:rsidRPr="007B284E" w:rsidRDefault="007B284E" w:rsidP="007B284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7B284E">
        <w:rPr>
          <w:rFonts w:ascii="宋体" w:eastAsia="宋体" w:hAnsi="宋体" w:cs="宋体"/>
          <w:b/>
          <w:bCs/>
          <w:kern w:val="0"/>
          <w:sz w:val="27"/>
          <w:szCs w:val="27"/>
        </w:rPr>
        <w:t>六、与相关法规的衔接</w:t>
      </w:r>
      <w:r w:rsidRPr="007B284E">
        <w:rPr>
          <w:rFonts w:ascii="MS Gothic" w:eastAsia="MS Gothic" w:hAnsi="MS Gothic" w:cs="MS Gothic" w:hint="eastAsia"/>
          <w:b/>
          <w:bCs/>
          <w:kern w:val="0"/>
          <w:sz w:val="27"/>
          <w:szCs w:val="27"/>
        </w:rPr>
        <w:t>​</w:t>
      </w:r>
      <w:r w:rsidRPr="007B284E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 </w:t>
      </w:r>
    </w:p>
    <w:p w:rsidR="007B284E" w:rsidRPr="007B284E" w:rsidRDefault="007B284E" w:rsidP="007B284E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1. 与MDR的划分</w:t>
      </w:r>
      <w:r w:rsidRPr="007B284E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7B284E" w:rsidRPr="007B284E" w:rsidRDefault="007B284E" w:rsidP="007B284E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核心区别</w:t>
      </w:r>
      <w:r w:rsidRPr="007B284E">
        <w:rPr>
          <w:rFonts w:ascii="宋体" w:eastAsia="宋体" w:hAnsi="宋体" w:cs="宋体"/>
          <w:kern w:val="0"/>
          <w:sz w:val="24"/>
          <w:szCs w:val="24"/>
        </w:rPr>
        <w:t>：IVD分析离体样本，医疗器械作用于人体或在体检测；</w:t>
      </w:r>
    </w:p>
    <w:p w:rsidR="007B284E" w:rsidRPr="007B284E" w:rsidRDefault="007B284E" w:rsidP="007B284E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争议案例</w:t>
      </w:r>
      <w:r w:rsidRPr="007B284E">
        <w:rPr>
          <w:rFonts w:ascii="宋体" w:eastAsia="宋体" w:hAnsi="宋体" w:cs="宋体"/>
          <w:kern w:val="0"/>
          <w:sz w:val="24"/>
          <w:szCs w:val="24"/>
        </w:rPr>
        <w:t>：连续血糖监测仪（体内检测属MDR），但其配套的指尖血检测组件可能属IVD。</w:t>
      </w:r>
    </w:p>
    <w:p w:rsidR="007B284E" w:rsidRPr="007B284E" w:rsidRDefault="007B284E" w:rsidP="007B284E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2. 与生物杀灭剂法规（EU 528/2012）的关系</w:t>
      </w:r>
      <w:r w:rsidRPr="007B284E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7B284E" w:rsidRPr="007B284E" w:rsidRDefault="007B284E" w:rsidP="007B284E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284E">
        <w:rPr>
          <w:rFonts w:ascii="宋体" w:eastAsia="宋体" w:hAnsi="宋体" w:cs="宋体"/>
          <w:kern w:val="0"/>
          <w:sz w:val="24"/>
          <w:szCs w:val="24"/>
        </w:rPr>
        <w:lastRenderedPageBreak/>
        <w:t>IVD优先适用IVDR，但若产品同时具有非IVD用途（如消毒），可能需额外符合生物杀灭剂法规。</w:t>
      </w:r>
    </w:p>
    <w:p w:rsidR="007B284E" w:rsidRPr="007B284E" w:rsidRDefault="007B284E" w:rsidP="007B284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284E">
        <w:rPr>
          <w:rFonts w:ascii="宋体" w:eastAsia="宋体" w:hAnsi="宋体" w:cs="宋体"/>
          <w:kern w:val="0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7B284E" w:rsidRPr="007B284E" w:rsidRDefault="007B284E" w:rsidP="007B284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7B284E">
        <w:rPr>
          <w:rFonts w:ascii="宋体" w:eastAsia="宋体" w:hAnsi="宋体" w:cs="宋体"/>
          <w:b/>
          <w:bCs/>
          <w:kern w:val="0"/>
          <w:sz w:val="27"/>
          <w:szCs w:val="27"/>
        </w:rPr>
        <w:t>七、合</w:t>
      </w:r>
      <w:proofErr w:type="gramStart"/>
      <w:r w:rsidRPr="007B284E">
        <w:rPr>
          <w:rFonts w:ascii="宋体" w:eastAsia="宋体" w:hAnsi="宋体" w:cs="宋体"/>
          <w:b/>
          <w:bCs/>
          <w:kern w:val="0"/>
          <w:sz w:val="27"/>
          <w:szCs w:val="27"/>
        </w:rPr>
        <w:t>规</w:t>
      </w:r>
      <w:proofErr w:type="gramEnd"/>
      <w:r w:rsidRPr="007B284E">
        <w:rPr>
          <w:rFonts w:ascii="宋体" w:eastAsia="宋体" w:hAnsi="宋体" w:cs="宋体"/>
          <w:b/>
          <w:bCs/>
          <w:kern w:val="0"/>
          <w:sz w:val="27"/>
          <w:szCs w:val="27"/>
        </w:rPr>
        <w:t>建议</w:t>
      </w:r>
      <w:r w:rsidRPr="007B284E">
        <w:rPr>
          <w:rFonts w:ascii="MS Gothic" w:eastAsia="MS Gothic" w:hAnsi="MS Gothic" w:cs="MS Gothic" w:hint="eastAsia"/>
          <w:b/>
          <w:bCs/>
          <w:kern w:val="0"/>
          <w:sz w:val="27"/>
          <w:szCs w:val="27"/>
        </w:rPr>
        <w:t>​</w:t>
      </w:r>
      <w:r w:rsidRPr="007B284E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 </w:t>
      </w:r>
    </w:p>
    <w:p w:rsidR="007B284E" w:rsidRPr="007B284E" w:rsidRDefault="007B284E" w:rsidP="007B284E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早期评估</w:t>
      </w:r>
      <w:r w:rsidRPr="007B284E">
        <w:rPr>
          <w:rFonts w:ascii="宋体" w:eastAsia="宋体" w:hAnsi="宋体" w:cs="宋体"/>
          <w:kern w:val="0"/>
          <w:sz w:val="24"/>
          <w:szCs w:val="24"/>
        </w:rPr>
        <w:t>：产品设计阶段即明确法规归属，避免后续整改；</w:t>
      </w:r>
    </w:p>
    <w:p w:rsidR="007B284E" w:rsidRPr="007B284E" w:rsidRDefault="007B284E" w:rsidP="007B284E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文档记录</w:t>
      </w:r>
      <w:r w:rsidRPr="007B284E">
        <w:rPr>
          <w:rFonts w:ascii="宋体" w:eastAsia="宋体" w:hAnsi="宋体" w:cs="宋体"/>
          <w:kern w:val="0"/>
          <w:sz w:val="24"/>
          <w:szCs w:val="24"/>
        </w:rPr>
        <w:t>：保留资格认定过程的决策依据；</w:t>
      </w:r>
    </w:p>
    <w:p w:rsidR="007B284E" w:rsidRPr="007B284E" w:rsidRDefault="007B284E" w:rsidP="007B284E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动态更新</w:t>
      </w:r>
      <w:r w:rsidRPr="007B284E">
        <w:rPr>
          <w:rFonts w:ascii="宋体" w:eastAsia="宋体" w:hAnsi="宋体" w:cs="宋体"/>
          <w:kern w:val="0"/>
          <w:sz w:val="24"/>
          <w:szCs w:val="24"/>
        </w:rPr>
        <w:t>：产品用途变更时重新评估法规符合性。</w:t>
      </w:r>
    </w:p>
    <w:p w:rsidR="007B284E" w:rsidRPr="007B284E" w:rsidRDefault="007B284E" w:rsidP="007B284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284E">
        <w:rPr>
          <w:rFonts w:ascii="宋体" w:eastAsia="宋体" w:hAnsi="宋体" w:cs="宋体"/>
          <w:b/>
          <w:bCs/>
          <w:kern w:val="0"/>
          <w:sz w:val="24"/>
          <w:szCs w:val="24"/>
        </w:rPr>
        <w:t>注</w:t>
      </w:r>
      <w:r w:rsidRPr="007B284E">
        <w:rPr>
          <w:rFonts w:ascii="宋体" w:eastAsia="宋体" w:hAnsi="宋体" w:cs="宋体"/>
          <w:kern w:val="0"/>
          <w:sz w:val="24"/>
          <w:szCs w:val="24"/>
        </w:rPr>
        <w:t>：本解读基于MDCG 2024-11指南，具体认定需结合产品特性和制造商声明的预期用途。争议案例建议咨询公告机构或主管当局。</w:t>
      </w:r>
    </w:p>
    <w:p w:rsidR="00D972B1" w:rsidRDefault="00A84582"/>
    <w:p w:rsidR="00A84582" w:rsidRDefault="00A84582"/>
    <w:p w:rsidR="00A84582" w:rsidRPr="007B284E" w:rsidRDefault="00A84582">
      <w:pPr>
        <w:rPr>
          <w:rFonts w:hint="eastAsia"/>
        </w:rPr>
      </w:pPr>
      <w:r>
        <w:rPr>
          <w:rFonts w:hint="eastAsia"/>
        </w:rPr>
        <w:t xml:space="preserve">原文： </w:t>
      </w:r>
      <w:bookmarkStart w:id="0" w:name="_GoBack"/>
      <w:bookmarkEnd w:id="0"/>
    </w:p>
    <w:sectPr w:rsidR="00A84582" w:rsidRPr="007B2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9062F"/>
    <w:multiLevelType w:val="multilevel"/>
    <w:tmpl w:val="DAEA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C7C7F"/>
    <w:multiLevelType w:val="multilevel"/>
    <w:tmpl w:val="DA64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44F6D"/>
    <w:multiLevelType w:val="multilevel"/>
    <w:tmpl w:val="B686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F0CCB"/>
    <w:multiLevelType w:val="multilevel"/>
    <w:tmpl w:val="F760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342430"/>
    <w:multiLevelType w:val="multilevel"/>
    <w:tmpl w:val="01DE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ED2271"/>
    <w:multiLevelType w:val="multilevel"/>
    <w:tmpl w:val="2400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7229F9"/>
    <w:multiLevelType w:val="multilevel"/>
    <w:tmpl w:val="BF28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69171D"/>
    <w:multiLevelType w:val="multilevel"/>
    <w:tmpl w:val="ACBE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035DAE"/>
    <w:multiLevelType w:val="multilevel"/>
    <w:tmpl w:val="5D66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CB5B57"/>
    <w:multiLevelType w:val="multilevel"/>
    <w:tmpl w:val="C0062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6C1C3C"/>
    <w:multiLevelType w:val="multilevel"/>
    <w:tmpl w:val="E33E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A11426"/>
    <w:multiLevelType w:val="multilevel"/>
    <w:tmpl w:val="6D84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08424F"/>
    <w:multiLevelType w:val="multilevel"/>
    <w:tmpl w:val="37FA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BE4B0C"/>
    <w:multiLevelType w:val="multilevel"/>
    <w:tmpl w:val="7E50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787F0A"/>
    <w:multiLevelType w:val="multilevel"/>
    <w:tmpl w:val="0442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2"/>
  </w:num>
  <w:num w:numId="5">
    <w:abstractNumId w:val="11"/>
  </w:num>
  <w:num w:numId="6">
    <w:abstractNumId w:val="14"/>
  </w:num>
  <w:num w:numId="7">
    <w:abstractNumId w:val="3"/>
  </w:num>
  <w:num w:numId="8">
    <w:abstractNumId w:val="7"/>
  </w:num>
  <w:num w:numId="9">
    <w:abstractNumId w:val="10"/>
  </w:num>
  <w:num w:numId="10">
    <w:abstractNumId w:val="0"/>
  </w:num>
  <w:num w:numId="11">
    <w:abstractNumId w:val="9"/>
  </w:num>
  <w:num w:numId="12">
    <w:abstractNumId w:val="2"/>
  </w:num>
  <w:num w:numId="13">
    <w:abstractNumId w:val="4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4E"/>
    <w:rsid w:val="005C312D"/>
    <w:rsid w:val="00723411"/>
    <w:rsid w:val="007B284E"/>
    <w:rsid w:val="00A8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4BDC8"/>
  <w15:chartTrackingRefBased/>
  <w15:docId w15:val="{108E7952-8782-4171-8CAF-BDD41362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7B284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7B284E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7B284E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0">
    <w:name w:val="标题 4 字符"/>
    <w:basedOn w:val="a0"/>
    <w:link w:val="4"/>
    <w:uiPriority w:val="9"/>
    <w:rsid w:val="007B284E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Strong"/>
    <w:basedOn w:val="a0"/>
    <w:uiPriority w:val="22"/>
    <w:qFormat/>
    <w:rsid w:val="007B28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7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1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27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74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9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14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94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08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94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77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66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688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6078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62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782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04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8485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989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782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646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03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19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702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091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4021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711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2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20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08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46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79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43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09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38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70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28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620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07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668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737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030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64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94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424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40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01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1698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833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25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85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57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27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69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88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977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24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68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04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211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08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133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01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019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97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133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01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76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74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511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250507A</dc:creator>
  <cp:keywords/>
  <dc:description/>
  <cp:lastModifiedBy>250507A</cp:lastModifiedBy>
  <cp:revision>2</cp:revision>
  <dcterms:created xsi:type="dcterms:W3CDTF">2026-02-03T07:03:00Z</dcterms:created>
  <dcterms:modified xsi:type="dcterms:W3CDTF">2026-02-03T07:06:00Z</dcterms:modified>
</cp:coreProperties>
</file>