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color w:val="0070C0"/>
          <w:kern w:val="0"/>
          <w:sz w:val="24"/>
          <w:szCs w:val="24"/>
        </w:rPr>
      </w:pPr>
      <w:r w:rsidRPr="00DE1DE4">
        <w:rPr>
          <w:rFonts w:ascii="宋体" w:eastAsia="宋体" w:hAnsi="宋体" w:cs="宋体"/>
          <w:b/>
          <w:bCs/>
          <w:color w:val="0070C0"/>
          <w:kern w:val="0"/>
          <w:sz w:val="24"/>
          <w:szCs w:val="24"/>
        </w:rPr>
        <w:t>欧盟医疗器械上市后监管（PMS）法规精要解读</w:t>
      </w:r>
      <w:r w:rsidRPr="005A08D1">
        <w:rPr>
          <w:rFonts w:ascii="MS Gothic" w:eastAsia="MS Gothic" w:hAnsi="MS Gothic" w:cs="MS Gothic"/>
          <w:color w:val="0070C0"/>
          <w:kern w:val="0"/>
          <w:sz w:val="24"/>
          <w:szCs w:val="24"/>
        </w:rPr>
        <w:t>​</w:t>
      </w:r>
      <w:bookmarkStart w:id="0" w:name="_GoBack"/>
      <w:bookmarkEnd w:id="0"/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color w:val="0070C0"/>
          <w:kern w:val="0"/>
          <w:sz w:val="24"/>
          <w:szCs w:val="24"/>
        </w:rPr>
      </w:pPr>
      <w:r w:rsidRPr="00DE1DE4">
        <w:rPr>
          <w:rFonts w:ascii="宋体" w:eastAsia="宋体" w:hAnsi="宋体" w:cs="宋体"/>
          <w:b/>
          <w:bCs/>
          <w:color w:val="0070C0"/>
          <w:kern w:val="0"/>
          <w:sz w:val="24"/>
          <w:szCs w:val="24"/>
        </w:rPr>
        <w:t>——基于MDCG 2025-10指南文件</w:t>
      </w:r>
      <w:r w:rsidRPr="005A08D1">
        <w:rPr>
          <w:rFonts w:ascii="MS Gothic" w:eastAsia="MS Gothic" w:hAnsi="MS Gothic" w:cs="MS Gothic"/>
          <w:color w:val="0070C0"/>
          <w:kern w:val="0"/>
          <w:sz w:val="24"/>
          <w:szCs w:val="24"/>
        </w:rPr>
        <w:t>​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一、监管框架与核心目标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1. 法规依据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MDR（EU 2017/745）与IVDR（EU 2017/746）</w:t>
      </w:r>
      <w:r w:rsidRPr="005A08D1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kern w:val="0"/>
          <w:sz w:val="24"/>
          <w:szCs w:val="24"/>
        </w:rPr>
        <w:t xml:space="preserve"> 要求制造商建立并维护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上市后监管系统（PMS系统）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，作为质量管理体系（QMS）的核心组成部分（第83条MDR/第78条IVDR）。</w:t>
      </w:r>
    </w:p>
    <w:p w:rsidR="005A08D1" w:rsidRPr="005A08D1" w:rsidRDefault="005A08D1" w:rsidP="005A08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核心目标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：通过持续监控已上市设备的安全性、性能和质量，确保全生命周期合</w:t>
      </w:r>
      <w:proofErr w:type="gramStart"/>
      <w:r w:rsidRPr="005A08D1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5A08D1">
        <w:rPr>
          <w:rFonts w:ascii="宋体" w:eastAsia="宋体" w:hAnsi="宋体" w:cs="宋体"/>
          <w:kern w:val="0"/>
          <w:sz w:val="24"/>
          <w:szCs w:val="24"/>
        </w:rPr>
        <w:t>，并利用真实世界数据优化产品。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2. 适用范围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涵盖所有医疗器械（MD）和体外诊断设备（IVD），包括定制设备（Custom-Made Devices）。</w:t>
      </w:r>
    </w:p>
    <w:p w:rsidR="005A08D1" w:rsidRPr="005A08D1" w:rsidRDefault="005A08D1" w:rsidP="005A08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豁免情况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：医疗机构自产自用设备（Article 5(5)）</w:t>
      </w:r>
      <w:proofErr w:type="gramStart"/>
      <w:r w:rsidRPr="005A08D1">
        <w:rPr>
          <w:rFonts w:ascii="宋体" w:eastAsia="宋体" w:hAnsi="宋体" w:cs="宋体"/>
          <w:kern w:val="0"/>
          <w:sz w:val="24"/>
          <w:szCs w:val="24"/>
        </w:rPr>
        <w:t>需内部</w:t>
      </w:r>
      <w:proofErr w:type="gramEnd"/>
      <w:r w:rsidRPr="005A08D1">
        <w:rPr>
          <w:rFonts w:ascii="宋体" w:eastAsia="宋体" w:hAnsi="宋体" w:cs="宋体"/>
          <w:kern w:val="0"/>
          <w:sz w:val="24"/>
          <w:szCs w:val="24"/>
        </w:rPr>
        <w:t>监控，但不受第三方符合性评估约束。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二、PMS系统核心要求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1. 系统构建原则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主动性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：需系统化、主动收集数据，而非被动等待反馈（如投诉）。</w:t>
      </w:r>
    </w:p>
    <w:p w:rsidR="005A08D1" w:rsidRPr="005A08D1" w:rsidRDefault="005A08D1" w:rsidP="005A08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全生命周期覆盖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：从设备首次上市至最后一批设备使用期满，需持续监控。</w:t>
      </w:r>
    </w:p>
    <w:p w:rsidR="005A08D1" w:rsidRPr="005A08D1" w:rsidRDefault="005A08D1" w:rsidP="005A08D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按风险分级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：措施需与设备风险等级、类型相称（如高风险设备需更严格方法）。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2. PMS系统关键活动流程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PMS系统作为QMS的组成部分，其活动流程闭环如下：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三、PMS计划（PMS Plan）具体要求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1. 计划内容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根据MDR/IVDR附件III第1(b)条，PMS计划需包含以下要素：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4188"/>
        <w:gridCol w:w="3019"/>
      </w:tblGrid>
      <w:tr w:rsidR="005A08D1" w:rsidRPr="005A08D1" w:rsidTr="005A08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要求项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具体内容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示例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</w:tr>
      <w:tr w:rsidR="005A08D1" w:rsidRPr="005A08D1" w:rsidTr="005A0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数据收集流程</w:t>
            </w:r>
            <w:r w:rsidRPr="005A08D1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主动收集设备性能、安全性数据，并与市场同类产品对比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文献筛查、用户调查、临床数据源分析</w:t>
            </w:r>
          </w:p>
        </w:tc>
      </w:tr>
      <w:tr w:rsidR="005A08D1" w:rsidRPr="005A08D1" w:rsidTr="005A0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数据分析方法</w:t>
            </w:r>
            <w:r w:rsidRPr="005A08D1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采用定量/定性统计方法，设置关键指标阈值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不良事件发生率、投诉率、使用时长监测</w:t>
            </w:r>
          </w:p>
        </w:tc>
      </w:tr>
      <w:tr w:rsidR="005A08D1" w:rsidRPr="005A08D1" w:rsidTr="005A0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纠正措施机制</w:t>
            </w:r>
            <w:r w:rsidRPr="005A08D1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定义触发纠正/预防措施（CAPA）的阈值和流程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当副作用</w:t>
            </w:r>
            <w:proofErr w:type="gramStart"/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频率超</w:t>
            </w:r>
            <w:proofErr w:type="gramEnd"/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阈值时启动设计变更</w:t>
            </w:r>
          </w:p>
        </w:tc>
      </w:tr>
      <w:tr w:rsidR="005A08D1" w:rsidRPr="005A08D1" w:rsidTr="005A0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趋势报告协议</w:t>
            </w:r>
            <w:r w:rsidRPr="005A08D1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统计方法识别非严重事件的显著增加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引用IMDRF不良事件术语中的调查方法</w:t>
            </w:r>
          </w:p>
        </w:tc>
      </w:tr>
    </w:tbl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2. 计划整合要求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与PMCF/PMPF计划联动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：高风险设备需制定上市后临床跟踪（PMCF）或性能跟踪（PMPF）计划，或提供不适用理由。</w:t>
      </w:r>
    </w:p>
    <w:p w:rsidR="005A08D1" w:rsidRPr="005A08D1" w:rsidRDefault="005A08D1" w:rsidP="005A08D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跨设备覆盖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：单一PMS计划可覆盖同一家族、相同设计用途的多款设备。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四、PMS数据流与闭环管理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1. 数据来源（Table 2摘要）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强制收集信息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A08D1" w:rsidRPr="005A08D1" w:rsidRDefault="005A08D1" w:rsidP="005A08D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严重事件、现场安全纠正措施（FSCA）；</w:t>
      </w:r>
    </w:p>
    <w:p w:rsidR="005A08D1" w:rsidRPr="005A08D1" w:rsidRDefault="005A08D1" w:rsidP="005A08D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非严重事件、不良副作用记录；</w:t>
      </w:r>
    </w:p>
    <w:p w:rsidR="005A08D1" w:rsidRPr="005A08D1" w:rsidRDefault="005A08D1" w:rsidP="005A08D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用户/分销商反馈、科学文献、公共数据库（如</w:t>
      </w:r>
      <w:proofErr w:type="spellStart"/>
      <w:r w:rsidRPr="005A08D1">
        <w:rPr>
          <w:rFonts w:ascii="宋体" w:eastAsia="宋体" w:hAnsi="宋体" w:cs="宋体"/>
          <w:kern w:val="0"/>
          <w:sz w:val="24"/>
          <w:szCs w:val="24"/>
        </w:rPr>
        <w:t>Eudamed</w:t>
      </w:r>
      <w:proofErr w:type="spellEnd"/>
      <w:r w:rsidRPr="005A08D1">
        <w:rPr>
          <w:rFonts w:ascii="宋体" w:eastAsia="宋体" w:hAnsi="宋体" w:cs="宋体"/>
          <w:kern w:val="0"/>
          <w:sz w:val="24"/>
          <w:szCs w:val="24"/>
        </w:rPr>
        <w:t>）。</w:t>
      </w:r>
    </w:p>
    <w:p w:rsidR="005A08D1" w:rsidRPr="005A08D1" w:rsidRDefault="005A08D1" w:rsidP="005A08D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数据利用方向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A08D1" w:rsidRPr="005A08D1" w:rsidRDefault="005A08D1" w:rsidP="005A08D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更新技术文档（如风险收益评估、临床评价）；</w:t>
      </w:r>
    </w:p>
    <w:p w:rsidR="005A08D1" w:rsidRPr="005A08D1" w:rsidRDefault="005A08D1" w:rsidP="005A08D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触发CAPA或FSCA；</w:t>
      </w:r>
    </w:p>
    <w:p w:rsidR="005A08D1" w:rsidRPr="005A08D1" w:rsidRDefault="005A08D1" w:rsidP="005A08D1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优化设备可用性、性能及安全性。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2. 数据分析与行动触发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阈值监控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：预设指标（如故障率、副作用频率）超</w:t>
      </w:r>
      <w:proofErr w:type="gramStart"/>
      <w:r w:rsidRPr="005A08D1">
        <w:rPr>
          <w:rFonts w:ascii="宋体" w:eastAsia="宋体" w:hAnsi="宋体" w:cs="宋体"/>
          <w:kern w:val="0"/>
          <w:sz w:val="24"/>
          <w:szCs w:val="24"/>
        </w:rPr>
        <w:t>限时需</w:t>
      </w:r>
      <w:proofErr w:type="gramEnd"/>
      <w:r w:rsidRPr="005A08D1">
        <w:rPr>
          <w:rFonts w:ascii="宋体" w:eastAsia="宋体" w:hAnsi="宋体" w:cs="宋体"/>
          <w:kern w:val="0"/>
          <w:sz w:val="24"/>
          <w:szCs w:val="24"/>
        </w:rPr>
        <w:t>启动调查；</w:t>
      </w:r>
    </w:p>
    <w:p w:rsidR="005A08D1" w:rsidRPr="005A08D1" w:rsidRDefault="005A08D1" w:rsidP="005A08D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趋势报告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：统计显著增加的非严重事件需向主管机构报告（Article 88 MDR）。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五、PMS系统与QMS其他环节的交互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1. 与风险管理联动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PMS数据需用于更新风险收益评估和风险管理文件（Article 83(3)(a) MDR）。</w:t>
      </w:r>
    </w:p>
    <w:p w:rsidR="005A08D1" w:rsidRPr="005A08D1" w:rsidRDefault="005A08D1" w:rsidP="005A08D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示例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：发现新型副作用时，需重新评估设备整体风险可接受性。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2. 与临床评价的协同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PMCF数据作为临床证据的一部分，用于更新临床评价报告（Article 83(3)(c) MDR）。</w:t>
      </w:r>
    </w:p>
    <w:p w:rsidR="005A08D1" w:rsidRPr="005A08D1" w:rsidRDefault="005A08D1" w:rsidP="005A08D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要求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：PMCF评估报告结论需整合至临床评价和风险管理流程中。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3. 技术文档更新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PMS结论</w:t>
      </w:r>
      <w:proofErr w:type="gramStart"/>
      <w:r w:rsidRPr="005A08D1">
        <w:rPr>
          <w:rFonts w:ascii="宋体" w:eastAsia="宋体" w:hAnsi="宋体" w:cs="宋体"/>
          <w:kern w:val="0"/>
          <w:sz w:val="24"/>
          <w:szCs w:val="24"/>
        </w:rPr>
        <w:t>需推动</w:t>
      </w:r>
      <w:proofErr w:type="gramEnd"/>
      <w:r w:rsidRPr="005A08D1">
        <w:rPr>
          <w:rFonts w:ascii="宋体" w:eastAsia="宋体" w:hAnsi="宋体" w:cs="宋体"/>
          <w:kern w:val="0"/>
          <w:sz w:val="24"/>
          <w:szCs w:val="24"/>
        </w:rPr>
        <w:t>设计文件、说明书（IFU）、标签的更新（Article 83(3)(b) MDR）。</w: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4. 跨设备知识传递</w:t>
      </w:r>
      <w:r w:rsidRPr="005A08D1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t>单一设备的PMS数据可为同类设备提供风险预警（Article 83(3)(g) MDR）。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六、输出文档与报告要求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949"/>
        <w:gridCol w:w="1455"/>
        <w:gridCol w:w="1860"/>
      </w:tblGrid>
      <w:tr w:rsidR="005A08D1" w:rsidRPr="005A08D1" w:rsidTr="005A08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设备类别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报告类型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更新频率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1815" w:type="dxa"/>
            <w:vAlign w:val="center"/>
            <w:hideMark/>
          </w:tcPr>
          <w:p w:rsidR="005A08D1" w:rsidRPr="005A08D1" w:rsidRDefault="005A08D1" w:rsidP="005A0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提交对象</w:t>
            </w:r>
            <w:r w:rsidRPr="005A08D1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</w:tr>
      <w:tr w:rsidR="005A08D1" w:rsidRPr="005A08D1" w:rsidTr="005A0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I类（MD）/A-B类（IVD）</w:t>
            </w:r>
            <w:r w:rsidRPr="005A08D1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PMS报告（Article 85/80）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按计划或必要时</w:t>
            </w:r>
          </w:p>
        </w:tc>
        <w:tc>
          <w:tcPr>
            <w:tcW w:w="1815" w:type="dxa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主管机构要求时提供</w:t>
            </w:r>
          </w:p>
        </w:tc>
      </w:tr>
      <w:tr w:rsidR="005A08D1" w:rsidRPr="005A08D1" w:rsidTr="005A0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IIa</w:t>
            </w:r>
            <w:proofErr w:type="spellEnd"/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proofErr w:type="spellStart"/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IIb</w:t>
            </w:r>
            <w:proofErr w:type="spellEnd"/>
            <w:r w:rsidRPr="005A08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/III类（MD）/C-D类（IVD）</w:t>
            </w:r>
            <w:r w:rsidRPr="005A08D1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定期安全更新报告（PSUR）（Article 86/81）</w:t>
            </w:r>
          </w:p>
        </w:tc>
        <w:tc>
          <w:tcPr>
            <w:tcW w:w="0" w:type="auto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定期（高风险需更频）</w:t>
            </w:r>
          </w:p>
        </w:tc>
        <w:tc>
          <w:tcPr>
            <w:tcW w:w="1815" w:type="dxa"/>
            <w:vAlign w:val="center"/>
            <w:hideMark/>
          </w:tcPr>
          <w:p w:rsidR="005A08D1" w:rsidRPr="005A08D1" w:rsidRDefault="005A08D1" w:rsidP="005A08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08D1">
              <w:rPr>
                <w:rFonts w:ascii="宋体" w:eastAsia="宋体" w:hAnsi="宋体" w:cs="宋体"/>
                <w:kern w:val="0"/>
                <w:sz w:val="24"/>
                <w:szCs w:val="24"/>
              </w:rPr>
              <w:t>公告机构+主管机构</w:t>
            </w:r>
          </w:p>
        </w:tc>
      </w:tr>
    </w:tbl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报告内容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：需包含数据分析结论、已采取纠正措施的理由、对设备安全性/性能的综合评估。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七、对制造商的实操建议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前置规划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：在设备研发阶段即制定PMS计划，明确数据收集方法和责任人。</w:t>
      </w:r>
    </w:p>
    <w:p w:rsidR="005A08D1" w:rsidRPr="005A08D1" w:rsidRDefault="005A08D1" w:rsidP="005A08D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数字化工具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：利用</w:t>
      </w:r>
      <w:proofErr w:type="spellStart"/>
      <w:r w:rsidRPr="005A08D1">
        <w:rPr>
          <w:rFonts w:ascii="宋体" w:eastAsia="宋体" w:hAnsi="宋体" w:cs="宋体"/>
          <w:kern w:val="0"/>
          <w:sz w:val="24"/>
          <w:szCs w:val="24"/>
        </w:rPr>
        <w:t>Eudamed</w:t>
      </w:r>
      <w:proofErr w:type="spellEnd"/>
      <w:r w:rsidRPr="005A08D1">
        <w:rPr>
          <w:rFonts w:ascii="宋体" w:eastAsia="宋体" w:hAnsi="宋体" w:cs="宋体"/>
          <w:kern w:val="0"/>
          <w:sz w:val="24"/>
          <w:szCs w:val="24"/>
        </w:rPr>
        <w:t>等平台自动化数据收集，提升监控效率。</w:t>
      </w:r>
    </w:p>
    <w:p w:rsidR="005A08D1" w:rsidRPr="005A08D1" w:rsidRDefault="005A08D1" w:rsidP="005A08D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闭环管理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：确保PMS结论切实推动设计改进、风险管控更新。</w:t>
      </w:r>
    </w:p>
    <w:p w:rsidR="005A08D1" w:rsidRPr="005A08D1" w:rsidRDefault="005A08D1" w:rsidP="005A08D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文档追溯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：所有PMS活动需记录在QMS中，供公告机构审核。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32" style="width:0;height:1.5pt" o:hralign="center" o:hrstd="t" o:hr="t" fillcolor="#a0a0a0" stroked="f"/>
        </w:pict>
      </w:r>
    </w:p>
    <w:p w:rsidR="005A08D1" w:rsidRPr="005A08D1" w:rsidRDefault="005A08D1" w:rsidP="005A08D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>附录：关键定义</w:t>
      </w:r>
      <w:r w:rsidRPr="005A08D1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5A08D1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5A08D1" w:rsidRPr="005A08D1" w:rsidRDefault="005A08D1" w:rsidP="005A08D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PMS系统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：制造商建立的，用于持续监控已上市设备安全、性能、质量的系统性流程。</w:t>
      </w:r>
    </w:p>
    <w:p w:rsidR="005A08D1" w:rsidRPr="005A08D1" w:rsidRDefault="005A08D1" w:rsidP="005A08D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主动性监控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：通过用户调研、注册数据库、文献回顾等方式主动获取数据，非仅依赖投诉。</w:t>
      </w:r>
    </w:p>
    <w:p w:rsidR="005A08D1" w:rsidRPr="005A08D1" w:rsidRDefault="005A08D1" w:rsidP="005A08D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设备生命周期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：从首次上市至最后一批设备停止使用的全过程（参考MDCG 2022-21）。</w:t>
      </w:r>
    </w:p>
    <w:p w:rsidR="005A08D1" w:rsidRPr="005A08D1" w:rsidRDefault="005A08D1" w:rsidP="005A08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08D1">
        <w:rPr>
          <w:rFonts w:ascii="宋体" w:eastAsia="宋体" w:hAnsi="宋体" w:cs="宋体"/>
          <w:b/>
          <w:bCs/>
          <w:kern w:val="0"/>
          <w:sz w:val="24"/>
          <w:szCs w:val="24"/>
        </w:rPr>
        <w:t>注</w:t>
      </w:r>
      <w:r w:rsidRPr="005A08D1">
        <w:rPr>
          <w:rFonts w:ascii="宋体" w:eastAsia="宋体" w:hAnsi="宋体" w:cs="宋体"/>
          <w:kern w:val="0"/>
          <w:sz w:val="24"/>
          <w:szCs w:val="24"/>
        </w:rPr>
        <w:t>：本解读基于MDCG 2025-10指南，具体执行需结合MDR/IVDR原文及相关协调标准（如EN ISO 13485、ISO 14971）。</w:t>
      </w:r>
    </w:p>
    <w:p w:rsidR="00D972B1" w:rsidRDefault="00DE1DE4"/>
    <w:p w:rsidR="005A08D1" w:rsidRDefault="005A08D1">
      <w:pPr>
        <w:rPr>
          <w:rFonts w:hint="eastAsia"/>
        </w:rPr>
      </w:pPr>
      <w:r>
        <w:rPr>
          <w:rFonts w:hint="eastAsia"/>
        </w:rPr>
        <w:t xml:space="preserve">原文： </w:t>
      </w:r>
    </w:p>
    <w:sectPr w:rsidR="005A0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D8"/>
    <w:multiLevelType w:val="multilevel"/>
    <w:tmpl w:val="52B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51124"/>
    <w:multiLevelType w:val="multilevel"/>
    <w:tmpl w:val="935E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133E"/>
    <w:multiLevelType w:val="multilevel"/>
    <w:tmpl w:val="C74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B41AB"/>
    <w:multiLevelType w:val="multilevel"/>
    <w:tmpl w:val="1068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151AC"/>
    <w:multiLevelType w:val="multilevel"/>
    <w:tmpl w:val="FAAC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723C0"/>
    <w:multiLevelType w:val="multilevel"/>
    <w:tmpl w:val="8444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D69BD"/>
    <w:multiLevelType w:val="multilevel"/>
    <w:tmpl w:val="6DD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45519"/>
    <w:multiLevelType w:val="multilevel"/>
    <w:tmpl w:val="DA42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27D3F"/>
    <w:multiLevelType w:val="multilevel"/>
    <w:tmpl w:val="5C1C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46355"/>
    <w:multiLevelType w:val="multilevel"/>
    <w:tmpl w:val="18E0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05356"/>
    <w:multiLevelType w:val="multilevel"/>
    <w:tmpl w:val="B08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D3BC8"/>
    <w:multiLevelType w:val="multilevel"/>
    <w:tmpl w:val="750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D1"/>
    <w:rsid w:val="005A08D1"/>
    <w:rsid w:val="005C312D"/>
    <w:rsid w:val="00723411"/>
    <w:rsid w:val="00D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C5F2"/>
  <w15:chartTrackingRefBased/>
  <w15:docId w15:val="{9DA2BFED-DC7D-48EF-AD0E-06BE08E8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A08D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08D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A08D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5A08D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A0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250507A</dc:creator>
  <cp:keywords/>
  <dc:description/>
  <cp:lastModifiedBy>250507A</cp:lastModifiedBy>
  <cp:revision>2</cp:revision>
  <dcterms:created xsi:type="dcterms:W3CDTF">2026-02-03T06:35:00Z</dcterms:created>
  <dcterms:modified xsi:type="dcterms:W3CDTF">2026-02-03T06:36:00Z</dcterms:modified>
</cp:coreProperties>
</file>