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欧盟委员会法规提案全文精要（基于COM(2025) 1023最终版）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bookmarkEnd w:id="0"/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084861">
        <w:rPr>
          <w:rFonts w:ascii="宋体" w:eastAsia="宋体" w:hAnsi="宋体" w:cs="宋体"/>
          <w:b/>
          <w:bCs/>
          <w:kern w:val="0"/>
          <w:sz w:val="27"/>
          <w:szCs w:val="27"/>
        </w:rPr>
        <w:t>欧盟议会与理事会法规提案</w:t>
      </w:r>
      <w:r w:rsidRPr="0008486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修订法规(EU) 2017/745和(EU) 2017/746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涉及简化医疗器械与体外诊断医疗器械规则及减轻负担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同时修订法规(EU) 2022/123（关于EMA对医疗器械专家小组的支持）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及法规(EU) 2024/1689（附件I中的联盟协调立法清单）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（文本具有EEA相关性）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084861">
        <w:rPr>
          <w:rFonts w:ascii="宋体" w:eastAsia="宋体" w:hAnsi="宋体" w:cs="宋体"/>
          <w:b/>
          <w:bCs/>
          <w:kern w:val="0"/>
          <w:sz w:val="27"/>
          <w:szCs w:val="27"/>
        </w:rPr>
        <w:t>解释性备忘录</w:t>
      </w:r>
      <w:r w:rsidRPr="0008486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1. 提案背景</w:t>
      </w:r>
      <w:r w:rsidRPr="0008486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目标与理由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医疗器械行业是欧洲经济增长多元化与创新的驱动力。该行业对提升欧盟竞争力、保障成员国医疗系统运转及实现高水平的公共卫生保护至关重要。医疗器械涵盖任何仪器、装置、软件、植入物等，用于疾病的诊断、治疗、预防、监测等目的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全球市场约有200万种医疗器械，分属7000多个通用设备组。欧洲有超过38,000家医疗技术公司，其中90%为中小微企业，总计雇佣93万人。2024年欧洲医疗技术市场规模估计约为1700亿欧元。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法规(EU) 2017/745（医疗器械法规，MDR）和(EU) 2017/746（体外诊断医疗器械法规，IVDR）旨在建立稳健、透明、可持续的监管框架，但实施中暴露出要求复杂、公告机构数量不足、符合性评估成本高等问题，导致设备供应短缺和创新受阻。2023-2024年虽延长过渡期，但未解决结构性问题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本次修订提案基于针对性评估结果，通过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简化规则、减轻行政负担、提高认证流程可预测性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，在保持安全水平的同时增强产业竞争力与创新力。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2. 法律依据、辅助性与比例性</w:t>
      </w:r>
      <w:r w:rsidRPr="0008486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084861" w:rsidRPr="00084861" w:rsidRDefault="00084861" w:rsidP="0008486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法律依据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：《欧盟运作条约》第114条（内部市场）和第168条第4款c项（公共卫生）。</w:t>
      </w:r>
    </w:p>
    <w:p w:rsidR="00084861" w:rsidRPr="00084861" w:rsidRDefault="00084861" w:rsidP="0008486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辅助性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：医疗器械监管需欧盟层面统一行动，避免成员国规则碎片化。</w:t>
      </w:r>
    </w:p>
    <w:p w:rsidR="00084861" w:rsidRPr="00084861" w:rsidRDefault="00084861" w:rsidP="0008486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比例性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：提案措施限于实现目标所需最低限度，未超出必要范围。</w:t>
      </w:r>
    </w:p>
    <w:p w:rsidR="00084861" w:rsidRPr="00084861" w:rsidRDefault="00084861" w:rsidP="0008486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法律工具选择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：采用“法规”形式确保统一适用性。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3. 评估与磋商结果</w:t>
      </w:r>
      <w:r w:rsidRPr="0008486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针对性评估发现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084861" w:rsidRPr="00084861" w:rsidRDefault="00084861" w:rsidP="0008486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MDR/IVDR加强了安全性，但合</w:t>
      </w:r>
      <w:proofErr w:type="gramStart"/>
      <w:r w:rsidRPr="00084861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084861">
        <w:rPr>
          <w:rFonts w:ascii="宋体" w:eastAsia="宋体" w:hAnsi="宋体" w:cs="宋体"/>
          <w:kern w:val="0"/>
          <w:sz w:val="24"/>
          <w:szCs w:val="24"/>
        </w:rPr>
        <w:t>成本高昂、流程复杂，尤其对中小企业负担过重。</w:t>
      </w:r>
    </w:p>
    <w:p w:rsidR="00084861" w:rsidRPr="00084861" w:rsidRDefault="00084861" w:rsidP="0008486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公告机构容量不足、评估标准不统一，导致市场准入延迟。</w:t>
      </w:r>
    </w:p>
    <w:p w:rsidR="00084861" w:rsidRPr="00084861" w:rsidRDefault="00084861" w:rsidP="0008486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临床证据要求在某些场景下不具比例性，阻碍创新和小</w:t>
      </w:r>
      <w:proofErr w:type="gramStart"/>
      <w:r w:rsidRPr="00084861">
        <w:rPr>
          <w:rFonts w:ascii="宋体" w:eastAsia="宋体" w:hAnsi="宋体" w:cs="宋体"/>
          <w:kern w:val="0"/>
          <w:sz w:val="24"/>
          <w:szCs w:val="24"/>
        </w:rPr>
        <w:t>众设备</w:t>
      </w:r>
      <w:proofErr w:type="gramEnd"/>
      <w:r w:rsidRPr="00084861">
        <w:rPr>
          <w:rFonts w:ascii="宋体" w:eastAsia="宋体" w:hAnsi="宋体" w:cs="宋体"/>
          <w:kern w:val="0"/>
          <w:sz w:val="24"/>
          <w:szCs w:val="24"/>
        </w:rPr>
        <w:t>供应。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利益相关方磋商（2025年9-10月）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084861" w:rsidRPr="00084861" w:rsidRDefault="00084861" w:rsidP="0008486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收到427份有效反馈，46.6%来自企业（其中64.8%为中小企业）。</w:t>
      </w:r>
    </w:p>
    <w:p w:rsidR="00084861" w:rsidRPr="00084861" w:rsidRDefault="00084861" w:rsidP="0008486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普遍支持简化规则、推进数字化、优化治理架构，同时保持安全标准。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4. 具体修订内容摘要</w:t>
      </w:r>
      <w:r w:rsidRPr="0008486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主题1：简化与比例性原则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合</w:t>
      </w:r>
      <w:proofErr w:type="gramStart"/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规</w:t>
      </w:r>
      <w:proofErr w:type="gramEnd"/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负责人（PRRC）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：取消“持续在岗”强制性要求，仅需“可及时响应”。</w:t>
      </w:r>
    </w:p>
    <w:p w:rsidR="00084861" w:rsidRPr="00084861" w:rsidRDefault="00084861" w:rsidP="0008486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证书有效期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：取消5年最长限制，改为基于风险的定期监督。</w:t>
      </w:r>
    </w:p>
    <w:p w:rsidR="00084861" w:rsidRPr="00084861" w:rsidRDefault="00084861" w:rsidP="0008486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成熟技术设备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：定义“成熟技术设备”，适用简化评估流程。</w:t>
      </w:r>
    </w:p>
    <w:p w:rsidR="00084861" w:rsidRPr="00084861" w:rsidRDefault="00084861" w:rsidP="0008486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再包装与贴标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：取消公告机构证书强制要求。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主题2：行政负担减轻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安全与临床性能摘要（SSCP）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：范围缩减至高风险设备，取消公告机构单独验证。</w:t>
      </w:r>
    </w:p>
    <w:p w:rsidR="00084861" w:rsidRPr="00084861" w:rsidRDefault="00084861" w:rsidP="0008486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定期安全更新报告（PSUR）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：降低更新频率，整合至市场监管活动。</w:t>
      </w:r>
    </w:p>
    <w:p w:rsidR="00084861" w:rsidRPr="00084861" w:rsidRDefault="00084861" w:rsidP="0008486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严重事件报告时限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：非紧急事件报告期从15天延长至30天。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主题3：创新与可及性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院内设备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：允许在公共卫生利益前提下跨机构转移设备。</w:t>
      </w:r>
    </w:p>
    <w:p w:rsidR="00084861" w:rsidRPr="00084861" w:rsidRDefault="00084861" w:rsidP="0008486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突破性设备与孤儿设备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：设立快速审批通道，滚动审查机制。</w:t>
      </w:r>
    </w:p>
    <w:p w:rsidR="00084861" w:rsidRPr="00084861" w:rsidRDefault="00084861" w:rsidP="0008486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监管沙盒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：成员国或欧盟可设立测试环境支持新技术。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主题4：国际协调与数字化</w:t>
      </w:r>
      <w:r w:rsidRPr="00084861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084861" w:rsidRPr="00084861" w:rsidRDefault="00084861" w:rsidP="0008486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唯一设备标识（UDI）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：允许电子标签，推广机器可读格式。</w:t>
      </w:r>
    </w:p>
    <w:p w:rsidR="00084861" w:rsidRPr="00084861" w:rsidRDefault="00084861" w:rsidP="0008486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网络安全事件报告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：要求制造商向ENISA和成员国CSIRT报告漏洞。</w:t>
      </w:r>
    </w:p>
    <w:p w:rsidR="00084861" w:rsidRPr="00084861" w:rsidRDefault="00084861" w:rsidP="0008486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国际互认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：推动与IMDRF等国际标准对齐，减少重复评估。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5. 预算影响</w:t>
      </w:r>
      <w:r w:rsidRPr="0008486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084861" w:rsidRPr="00084861" w:rsidRDefault="00084861" w:rsidP="0008486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欧盟预算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：需增加资源用于公告机构监督、专家小组支持、</w:t>
      </w:r>
      <w:proofErr w:type="spellStart"/>
      <w:r w:rsidRPr="00084861">
        <w:rPr>
          <w:rFonts w:ascii="宋体" w:eastAsia="宋体" w:hAnsi="宋体" w:cs="宋体"/>
          <w:kern w:val="0"/>
          <w:sz w:val="24"/>
          <w:szCs w:val="24"/>
        </w:rPr>
        <w:t>Eudamed</w:t>
      </w:r>
      <w:proofErr w:type="spellEnd"/>
      <w:r w:rsidRPr="00084861">
        <w:rPr>
          <w:rFonts w:ascii="宋体" w:eastAsia="宋体" w:hAnsi="宋体" w:cs="宋体"/>
          <w:kern w:val="0"/>
          <w:sz w:val="24"/>
          <w:szCs w:val="24"/>
        </w:rPr>
        <w:t>数据库升级。</w:t>
      </w:r>
    </w:p>
    <w:p w:rsidR="00084861" w:rsidRPr="00084861" w:rsidRDefault="00084861" w:rsidP="0008486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成本节约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：简化措施预计为产业每年节省超30亿欧元合</w:t>
      </w:r>
      <w:proofErr w:type="gramStart"/>
      <w:r w:rsidRPr="00084861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084861">
        <w:rPr>
          <w:rFonts w:ascii="宋体" w:eastAsia="宋体" w:hAnsi="宋体" w:cs="宋体"/>
          <w:kern w:val="0"/>
          <w:sz w:val="24"/>
          <w:szCs w:val="24"/>
        </w:rPr>
        <w:t>成本。</w:t>
      </w:r>
    </w:p>
    <w:p w:rsidR="00084861" w:rsidRPr="00084861" w:rsidRDefault="00084861" w:rsidP="0008486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资金来源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：部分通过公告机构收费补偿，中小企业享受费用减免。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6. 实施时间表</w:t>
      </w:r>
      <w:r w:rsidRPr="0008486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084861" w:rsidRPr="00084861" w:rsidRDefault="00084861" w:rsidP="0008486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生效日期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：提案公布后20日，部分条款设6个月至5年过渡期。</w:t>
      </w:r>
    </w:p>
    <w:p w:rsidR="00084861" w:rsidRPr="00084861" w:rsidRDefault="00084861" w:rsidP="0008486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关键节点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084861" w:rsidRPr="00084861" w:rsidRDefault="00084861" w:rsidP="00084861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2028年：多数简化措施全面实施。</w:t>
      </w:r>
    </w:p>
    <w:p w:rsidR="00084861" w:rsidRPr="00084861" w:rsidRDefault="00084861" w:rsidP="00084861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2030年：</w:t>
      </w:r>
      <w:proofErr w:type="spellStart"/>
      <w:r w:rsidRPr="00084861">
        <w:rPr>
          <w:rFonts w:ascii="宋体" w:eastAsia="宋体" w:hAnsi="宋体" w:cs="宋体"/>
          <w:kern w:val="0"/>
          <w:sz w:val="24"/>
          <w:szCs w:val="24"/>
        </w:rPr>
        <w:t>Eudamed</w:t>
      </w:r>
      <w:proofErr w:type="spellEnd"/>
      <w:r w:rsidRPr="00084861">
        <w:rPr>
          <w:rFonts w:ascii="宋体" w:eastAsia="宋体" w:hAnsi="宋体" w:cs="宋体"/>
          <w:kern w:val="0"/>
          <w:sz w:val="24"/>
          <w:szCs w:val="24"/>
        </w:rPr>
        <w:t>高级功能强制使用。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084861">
        <w:rPr>
          <w:rFonts w:ascii="宋体" w:eastAsia="宋体" w:hAnsi="宋体" w:cs="宋体"/>
          <w:b/>
          <w:bCs/>
          <w:kern w:val="0"/>
          <w:sz w:val="27"/>
          <w:szCs w:val="27"/>
        </w:rPr>
        <w:t>结论</w:t>
      </w:r>
      <w:r w:rsidRPr="0008486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08486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t>本提案通过</w:t>
      </w: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精准化监管、数字化工具和创新激励</w:t>
      </w:r>
      <w:r w:rsidRPr="00084861">
        <w:rPr>
          <w:rFonts w:ascii="宋体" w:eastAsia="宋体" w:hAnsi="宋体" w:cs="宋体"/>
          <w:kern w:val="0"/>
          <w:sz w:val="24"/>
          <w:szCs w:val="24"/>
        </w:rPr>
        <w:t>三重路径，在保障患者安全的同时提升欧盟医疗器械生态系统的效率与韧性。修订后的框架将更好地平衡风险管控与产业活力，为欧洲医疗创新注入新动能。</w: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kern w:val="0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84861" w:rsidRPr="00084861" w:rsidRDefault="00084861" w:rsidP="000848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861">
        <w:rPr>
          <w:rFonts w:ascii="宋体" w:eastAsia="宋体" w:hAnsi="宋体" w:cs="宋体"/>
          <w:b/>
          <w:bCs/>
          <w:kern w:val="0"/>
          <w:sz w:val="24"/>
          <w:szCs w:val="24"/>
        </w:rPr>
        <w:t>注</w:t>
      </w:r>
      <w:r w:rsidRPr="00084861">
        <w:rPr>
          <w:rFonts w:ascii="宋体" w:eastAsia="宋体" w:hAnsi="宋体" w:cs="宋体"/>
          <w:kern w:val="0"/>
          <w:sz w:val="24"/>
          <w:szCs w:val="24"/>
        </w:rPr>
        <w:t>：本翻译严格基于欧盟官方提案文本（COM/2025/1023），法律效力以欧盟机构发布的正式语言版本为准。</w:t>
      </w:r>
    </w:p>
    <w:p w:rsidR="00D972B1" w:rsidRDefault="00084861"/>
    <w:p w:rsidR="00084861" w:rsidRPr="00084861" w:rsidRDefault="00084861">
      <w:r>
        <w:rPr>
          <w:rFonts w:hint="eastAsia"/>
        </w:rPr>
        <w:t xml:space="preserve">原文：　　</w:t>
      </w:r>
    </w:p>
    <w:sectPr w:rsidR="00084861" w:rsidRPr="0008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290F"/>
    <w:multiLevelType w:val="multilevel"/>
    <w:tmpl w:val="BBC4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96DF3"/>
    <w:multiLevelType w:val="multilevel"/>
    <w:tmpl w:val="B570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33842"/>
    <w:multiLevelType w:val="multilevel"/>
    <w:tmpl w:val="ECE8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65253"/>
    <w:multiLevelType w:val="multilevel"/>
    <w:tmpl w:val="FC72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34955"/>
    <w:multiLevelType w:val="multilevel"/>
    <w:tmpl w:val="FF4C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E4135"/>
    <w:multiLevelType w:val="multilevel"/>
    <w:tmpl w:val="813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56808"/>
    <w:multiLevelType w:val="multilevel"/>
    <w:tmpl w:val="8BF4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416B0"/>
    <w:multiLevelType w:val="multilevel"/>
    <w:tmpl w:val="3A38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7401C"/>
    <w:multiLevelType w:val="multilevel"/>
    <w:tmpl w:val="89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1"/>
    <w:rsid w:val="00084861"/>
    <w:rsid w:val="005C312D"/>
    <w:rsid w:val="0072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A687"/>
  <w15:chartTrackingRefBased/>
  <w15:docId w15:val="{6035A46B-FCE8-4B42-B1C5-F38997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848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8486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8486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08486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84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250507A</dc:creator>
  <cp:keywords/>
  <dc:description/>
  <cp:lastModifiedBy>250507A</cp:lastModifiedBy>
  <cp:revision>1</cp:revision>
  <dcterms:created xsi:type="dcterms:W3CDTF">2026-02-03T06:12:00Z</dcterms:created>
  <dcterms:modified xsi:type="dcterms:W3CDTF">2026-02-03T06:13:00Z</dcterms:modified>
</cp:coreProperties>
</file>