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color w:val="0070C0"/>
          <w:kern w:val="0"/>
          <w:sz w:val="24"/>
          <w:szCs w:val="24"/>
        </w:rPr>
      </w:pPr>
      <w:r w:rsidRPr="00F80D91">
        <w:rPr>
          <w:rFonts w:ascii="宋体" w:eastAsia="宋体" w:hAnsi="宋体" w:cs="宋体"/>
          <w:b/>
          <w:bCs/>
          <w:color w:val="0070C0"/>
          <w:kern w:val="0"/>
          <w:sz w:val="24"/>
          <w:szCs w:val="24"/>
        </w:rPr>
        <w:t>欧盟医疗器械人工智能（MDAI）监管精要解读</w:t>
      </w:r>
      <w:r w:rsidRPr="00930955">
        <w:rPr>
          <w:rFonts w:ascii="MS Gothic" w:eastAsia="MS Gothic" w:hAnsi="MS Gothic" w:cs="MS Gothic"/>
          <w:color w:val="0070C0"/>
          <w:kern w:val="0"/>
          <w:sz w:val="24"/>
          <w:szCs w:val="24"/>
        </w:rPr>
        <w:t>​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——基于AIB-MDCG联合文件（2025-1/2025-6）</w:t>
      </w:r>
      <w:r w:rsidRPr="00930955">
        <w:rPr>
          <w:rFonts w:ascii="MS Gothic" w:eastAsia="MS Gothic" w:hAnsi="MS Gothic" w:cs="MS Gothic"/>
          <w:kern w:val="0"/>
          <w:sz w:val="24"/>
          <w:szCs w:val="24"/>
        </w:rPr>
        <w:t>​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一、监管框架与适用范围</w:t>
      </w:r>
      <w:r w:rsidRPr="00930955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1. 法规交叉适用原则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MDR/IVDR与《人工智能法案》（AIA）互补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930955" w:rsidRPr="00930955" w:rsidRDefault="00930955" w:rsidP="00930955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MDAI（医疗器械人工智能）需同时满足MDR/IVDR（安全性、性能）和AIA（透明度、数据治理、人权保护）要求。</w:t>
      </w:r>
    </w:p>
    <w:p w:rsidR="00930955" w:rsidRPr="00930955" w:rsidRDefault="00930955" w:rsidP="00930955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高风险MDAI判定条件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（需同时满足）：</w:t>
      </w:r>
    </w:p>
    <w:p w:rsidR="00930955" w:rsidRPr="00930955" w:rsidRDefault="00930955" w:rsidP="00930955">
      <w:pPr>
        <w:widowControl/>
        <w:numPr>
          <w:ilvl w:val="2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是医疗器械的安全组件，或本身为医疗器械；</w:t>
      </w:r>
    </w:p>
    <w:p w:rsidR="00930955" w:rsidRPr="00930955" w:rsidRDefault="00930955" w:rsidP="00930955">
      <w:pPr>
        <w:widowControl/>
        <w:numPr>
          <w:ilvl w:val="2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需经公告机构（Notified Body）进行第三方符合性评估（见表1）。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2. 分类与豁免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高风险MDAI示例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930955" w:rsidRPr="00930955" w:rsidRDefault="00930955" w:rsidP="00930955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 xml:space="preserve">MDR </w:t>
      </w:r>
      <w:proofErr w:type="spellStart"/>
      <w:r w:rsidRPr="00930955">
        <w:rPr>
          <w:rFonts w:ascii="宋体" w:eastAsia="宋体" w:hAnsi="宋体" w:cs="宋体"/>
          <w:kern w:val="0"/>
          <w:sz w:val="24"/>
          <w:szCs w:val="24"/>
        </w:rPr>
        <w:t>IIa</w:t>
      </w:r>
      <w:proofErr w:type="spellEnd"/>
      <w:r w:rsidRPr="00930955">
        <w:rPr>
          <w:rFonts w:ascii="宋体" w:eastAsia="宋体" w:hAnsi="宋体" w:cs="宋体"/>
          <w:kern w:val="0"/>
          <w:sz w:val="24"/>
          <w:szCs w:val="24"/>
        </w:rPr>
        <w:t>/</w:t>
      </w:r>
      <w:proofErr w:type="spellStart"/>
      <w:r w:rsidRPr="00930955">
        <w:rPr>
          <w:rFonts w:ascii="宋体" w:eastAsia="宋体" w:hAnsi="宋体" w:cs="宋体"/>
          <w:kern w:val="0"/>
          <w:sz w:val="24"/>
          <w:szCs w:val="24"/>
        </w:rPr>
        <w:t>IIb</w:t>
      </w:r>
      <w:proofErr w:type="spellEnd"/>
      <w:r w:rsidRPr="00930955">
        <w:rPr>
          <w:rFonts w:ascii="宋体" w:eastAsia="宋体" w:hAnsi="宋体" w:cs="宋体"/>
          <w:kern w:val="0"/>
          <w:sz w:val="24"/>
          <w:szCs w:val="24"/>
        </w:rPr>
        <w:t>/III类设备、IVDR B/C/D类设备、无菌或有测量功能的I类设备。</w:t>
      </w:r>
    </w:p>
    <w:p w:rsidR="00930955" w:rsidRPr="00930955" w:rsidRDefault="00930955" w:rsidP="009309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非高风险MDAI示例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930955" w:rsidRPr="00930955" w:rsidRDefault="00930955" w:rsidP="00930955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MDR普通I类设备、IVDR A类（非无菌）、医疗机构自</w:t>
      </w:r>
      <w:proofErr w:type="gramStart"/>
      <w:r w:rsidRPr="00930955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930955">
        <w:rPr>
          <w:rFonts w:ascii="宋体" w:eastAsia="宋体" w:hAnsi="宋体" w:cs="宋体"/>
          <w:kern w:val="0"/>
          <w:sz w:val="24"/>
          <w:szCs w:val="24"/>
        </w:rPr>
        <w:t>自用设备（Article 5(5)豁免）。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二、核心合</w:t>
      </w:r>
      <w:proofErr w:type="gramStart"/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规</w:t>
      </w:r>
      <w:proofErr w:type="gramEnd"/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要求</w:t>
      </w:r>
      <w:r w:rsidRPr="00930955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1. 数据治理与质量管理体系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数据质量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：训练/验证/测试数据需具代表性、无偏见、符合预期用途（AIA第10条）。</w:t>
      </w:r>
    </w:p>
    <w:p w:rsidR="00930955" w:rsidRPr="00930955" w:rsidRDefault="00930955" w:rsidP="009309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质量管理体系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：需整合MDR/IVDR（全生命周期管理）与AIA（AI系统专项要求），允许合并文档以减少重复负担（AIA第8(2)条）。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2. 技术文档与透明度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技术文档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：需包含软件架构、算法逻辑、风险管控措施（MDR附件II、AIA第11条）。</w:t>
      </w:r>
    </w:p>
    <w:p w:rsidR="00930955" w:rsidRPr="00930955" w:rsidRDefault="00930955" w:rsidP="0093095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透明度义务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930955" w:rsidRPr="00930955" w:rsidRDefault="00930955" w:rsidP="00930955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用户需知悉正在与AI系统交互（除非场景明显）；</w:t>
      </w:r>
    </w:p>
    <w:p w:rsidR="00930955" w:rsidRPr="00930955" w:rsidRDefault="00930955" w:rsidP="00930955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lastRenderedPageBreak/>
        <w:t>提供清晰的使用说明，确保部署者理解系统局限性（AIA第13条）。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3. 人类监督与问责机制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人类监督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：高风险MDAI需设计为“可被人干预”，确保关键决策受控（AIA第14条）。</w:t>
      </w:r>
    </w:p>
    <w:p w:rsidR="00930955" w:rsidRPr="00930955" w:rsidRDefault="00930955" w:rsidP="009309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问责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：通过日志记录、性能追踪实现全生命周期溯源（AIA第12条）。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4. 网络安全与鲁棒性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网络安全措施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：防止未经授权访问、数据投毒等风险（AIA第15条）。</w:t>
      </w:r>
    </w:p>
    <w:p w:rsidR="00930955" w:rsidRPr="00930955" w:rsidRDefault="00930955" w:rsidP="00930955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鲁棒性测试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：需在真实场景中验证系统抗干扰能力（MDR附件I第17节）。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三、临床评估与符合性评估</w:t>
      </w:r>
      <w:r w:rsidRPr="00930955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1. 临床证据生成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数据要求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：临床数据</w:t>
      </w:r>
      <w:proofErr w:type="gramStart"/>
      <w:r w:rsidRPr="00930955">
        <w:rPr>
          <w:rFonts w:ascii="宋体" w:eastAsia="宋体" w:hAnsi="宋体" w:cs="宋体"/>
          <w:kern w:val="0"/>
          <w:sz w:val="24"/>
          <w:szCs w:val="24"/>
        </w:rPr>
        <w:t>需代表</w:t>
      </w:r>
      <w:proofErr w:type="gramEnd"/>
      <w:r w:rsidRPr="00930955">
        <w:rPr>
          <w:rFonts w:ascii="宋体" w:eastAsia="宋体" w:hAnsi="宋体" w:cs="宋体"/>
          <w:kern w:val="0"/>
          <w:sz w:val="24"/>
          <w:szCs w:val="24"/>
        </w:rPr>
        <w:t>目标患者群体，避免偏见（MDR附件XIV）。</w:t>
      </w:r>
    </w:p>
    <w:p w:rsidR="00930955" w:rsidRPr="00930955" w:rsidRDefault="00930955" w:rsidP="00930955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真实世界测试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：AIA允许高风险MDAI在上市前进行真实世界测试（AIA第60条），与MDR/IVDR临床研究要求协调。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2. 符合性评估流程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公告机构角色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：对高风险MDAI同步评估MDR/IVDR和AIA要求（AIA第43(3)条）。</w:t>
      </w:r>
    </w:p>
    <w:p w:rsidR="00930955" w:rsidRPr="00930955" w:rsidRDefault="00930955" w:rsidP="00930955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简化路径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：允许通过“单一技术文档”证明双重合</w:t>
      </w:r>
      <w:proofErr w:type="gramStart"/>
      <w:r w:rsidRPr="00930955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930955">
        <w:rPr>
          <w:rFonts w:ascii="宋体" w:eastAsia="宋体" w:hAnsi="宋体" w:cs="宋体"/>
          <w:kern w:val="0"/>
          <w:sz w:val="24"/>
          <w:szCs w:val="24"/>
        </w:rPr>
        <w:t>（AIA第11(2)条）。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四、上市后监管与变更管理</w:t>
      </w:r>
      <w:r w:rsidRPr="00930955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1. 上市后监测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持续监控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：需收集性能数据、不良事件，并定期更新风险收益评估（MDR第83条、AIA第72条）。</w:t>
      </w:r>
    </w:p>
    <w:p w:rsidR="00930955" w:rsidRPr="00930955" w:rsidRDefault="00930955" w:rsidP="00930955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部署者责任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：监测系统运行情况，及时向制造商反馈（AIA第26条）。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2. 变更管理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实质性修改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：若设计发生重大变更，需重新进行符合性评估（AIA第43(4)条）。</w:t>
      </w:r>
    </w:p>
    <w:p w:rsidR="00930955" w:rsidRPr="00930955" w:rsidRDefault="00930955" w:rsidP="00930955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预定义变更计划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：允许在符合性评估阶段提前审批特定变更路径（AIA第43(4)条）。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五、特殊场景与过渡期安排</w:t>
      </w:r>
      <w:r w:rsidRPr="00930955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1. 医疗机构自</w:t>
      </w:r>
      <w:proofErr w:type="gramStart"/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研</w:t>
      </w:r>
      <w:proofErr w:type="gramEnd"/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设备（In-house MDAI）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符合Article 5(5)豁免条件时，不被认定为高风险AI系统，但需遵守AIA禁止性实践条款（如歧视性算法）。</w: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2. 过渡期规则</w:t>
      </w:r>
      <w:r w:rsidRPr="00930955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2027年8月2日前上市</w:t>
      </w:r>
      <w:r w:rsidRPr="00930955">
        <w:rPr>
          <w:rFonts w:ascii="宋体" w:eastAsia="宋体" w:hAnsi="宋体" w:cs="宋体"/>
          <w:kern w:val="0"/>
          <w:sz w:val="24"/>
          <w:szCs w:val="24"/>
        </w:rPr>
        <w:t>的设备，若设计无重大变更，可豁免AIA高风险义务；此后上市或重大变更的MDAI需全面合</w:t>
      </w:r>
      <w:proofErr w:type="gramStart"/>
      <w:r w:rsidRPr="00930955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930955">
        <w:rPr>
          <w:rFonts w:ascii="宋体" w:eastAsia="宋体" w:hAnsi="宋体" w:cs="宋体"/>
          <w:kern w:val="0"/>
          <w:sz w:val="24"/>
          <w:szCs w:val="24"/>
        </w:rPr>
        <w:t>（AIA第113条）。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六、对制造商的实操建议</w:t>
      </w:r>
      <w:r w:rsidRPr="00930955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整合</w:t>
      </w:r>
      <w:proofErr w:type="gramStart"/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合规</w:t>
      </w:r>
      <w:proofErr w:type="gramEnd"/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流程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：建立统一的质量管理体系，覆盖MDR/IVDR和AIA要求。</w:t>
      </w:r>
    </w:p>
    <w:p w:rsidR="00930955" w:rsidRPr="00930955" w:rsidRDefault="00930955" w:rsidP="0093095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数据治理优先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：从数据收集阶段管控偏见，确保数据代表性和质量。</w:t>
      </w:r>
    </w:p>
    <w:p w:rsidR="00930955" w:rsidRPr="00930955" w:rsidRDefault="00930955" w:rsidP="0093095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强化文档记录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：详细记录算法决策逻辑、变更历史及人类监督机制。</w:t>
      </w:r>
    </w:p>
    <w:p w:rsidR="00930955" w:rsidRPr="00930955" w:rsidRDefault="00930955" w:rsidP="00930955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关注指南更新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：欧盟委员会将发布关于数据治理、预定义变更的细化指南（如IMDRF框架）。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>附录：关键定义与参考</w:t>
      </w:r>
      <w:r w:rsidRPr="00930955">
        <w:rPr>
          <w:rFonts w:ascii="MS Gothic" w:eastAsia="MS Gothic" w:hAnsi="MS Gothic" w:cs="MS Gothic" w:hint="eastAsia"/>
          <w:b/>
          <w:bCs/>
          <w:kern w:val="0"/>
          <w:sz w:val="27"/>
          <w:szCs w:val="27"/>
        </w:rPr>
        <w:t>​</w:t>
      </w:r>
      <w:r w:rsidRPr="00930955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 </w:t>
      </w:r>
    </w:p>
    <w:p w:rsidR="00930955" w:rsidRPr="00930955" w:rsidRDefault="00930955" w:rsidP="00930955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MDAI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：用于医疗目的的AI系统，涵盖医疗器械、附件、体外诊断设备等。</w:t>
      </w:r>
    </w:p>
    <w:p w:rsidR="00930955" w:rsidRPr="00930955" w:rsidRDefault="00930955" w:rsidP="00930955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部署者（</w:t>
      </w:r>
      <w:proofErr w:type="spellStart"/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Deployer</w:t>
      </w:r>
      <w:proofErr w:type="spellEnd"/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）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：使用AI系统的机构或个人（非个人用途），不同于MDR中的“用户”。</w:t>
      </w:r>
    </w:p>
    <w:p w:rsidR="00930955" w:rsidRPr="00930955" w:rsidRDefault="00930955" w:rsidP="00930955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核心法规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930955" w:rsidRPr="00930955" w:rsidRDefault="00930955" w:rsidP="00930955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MDR (EU) 2017/745、IVDR (EU) 2017/746</w:t>
      </w:r>
    </w:p>
    <w:p w:rsidR="00930955" w:rsidRPr="00930955" w:rsidRDefault="00930955" w:rsidP="00930955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AIA (EU) 2024/1689</w:t>
      </w:r>
    </w:p>
    <w:p w:rsidR="00930955" w:rsidRPr="00930955" w:rsidRDefault="00930955" w:rsidP="00930955">
      <w:pPr>
        <w:widowControl/>
        <w:numPr>
          <w:ilvl w:val="1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t>配套指南：MDCG 2019-11（软件分类）、MDCG 2020-1（临床评估）</w: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32" style="width:0;height:1.5pt" o:hralign="center" o:hrstd="t" o:hr="t" fillcolor="#a0a0a0" stroked="f"/>
        </w:pict>
      </w:r>
    </w:p>
    <w:p w:rsidR="00930955" w:rsidRPr="00930955" w:rsidRDefault="00930955" w:rsidP="009309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30955">
        <w:rPr>
          <w:rFonts w:ascii="宋体" w:eastAsia="宋体" w:hAnsi="宋体" w:cs="宋体"/>
          <w:b/>
          <w:bCs/>
          <w:kern w:val="0"/>
          <w:sz w:val="24"/>
          <w:szCs w:val="24"/>
        </w:rPr>
        <w:t>注</w:t>
      </w:r>
      <w:r w:rsidRPr="00930955">
        <w:rPr>
          <w:rFonts w:ascii="宋体" w:eastAsia="宋体" w:hAnsi="宋体" w:cs="宋体"/>
          <w:kern w:val="0"/>
          <w:sz w:val="24"/>
          <w:szCs w:val="24"/>
        </w:rPr>
        <w:t>：本解读基于AIB-MDCG联合文件（2025年6月），具体合</w:t>
      </w:r>
      <w:proofErr w:type="gramStart"/>
      <w:r w:rsidRPr="00930955">
        <w:rPr>
          <w:rFonts w:ascii="宋体" w:eastAsia="宋体" w:hAnsi="宋体" w:cs="宋体"/>
          <w:kern w:val="0"/>
          <w:sz w:val="24"/>
          <w:szCs w:val="24"/>
        </w:rPr>
        <w:t>规</w:t>
      </w:r>
      <w:proofErr w:type="gramEnd"/>
      <w:r w:rsidRPr="00930955">
        <w:rPr>
          <w:rFonts w:ascii="宋体" w:eastAsia="宋体" w:hAnsi="宋体" w:cs="宋体"/>
          <w:kern w:val="0"/>
          <w:sz w:val="24"/>
          <w:szCs w:val="24"/>
        </w:rPr>
        <w:t>需以法规原文及官方指南为准。</w:t>
      </w:r>
    </w:p>
    <w:p w:rsidR="00D972B1" w:rsidRDefault="00F80D91"/>
    <w:p w:rsidR="00930955" w:rsidRDefault="00930955">
      <w:pPr>
        <w:rPr>
          <w:rFonts w:hint="eastAsia"/>
        </w:rPr>
      </w:pPr>
      <w:r>
        <w:rPr>
          <w:rFonts w:hint="eastAsia"/>
        </w:rPr>
        <w:t xml:space="preserve">原文： </w:t>
      </w:r>
      <w:bookmarkStart w:id="0" w:name="_GoBack"/>
      <w:bookmarkEnd w:id="0"/>
    </w:p>
    <w:sectPr w:rsidR="0093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61FF"/>
    <w:multiLevelType w:val="multilevel"/>
    <w:tmpl w:val="702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1679F"/>
    <w:multiLevelType w:val="multilevel"/>
    <w:tmpl w:val="226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D06B5"/>
    <w:multiLevelType w:val="multilevel"/>
    <w:tmpl w:val="224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0074"/>
    <w:multiLevelType w:val="multilevel"/>
    <w:tmpl w:val="3D7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1360"/>
    <w:multiLevelType w:val="multilevel"/>
    <w:tmpl w:val="FB8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22F02"/>
    <w:multiLevelType w:val="multilevel"/>
    <w:tmpl w:val="212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44F15"/>
    <w:multiLevelType w:val="multilevel"/>
    <w:tmpl w:val="62C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B2508"/>
    <w:multiLevelType w:val="multilevel"/>
    <w:tmpl w:val="D440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B012C"/>
    <w:multiLevelType w:val="multilevel"/>
    <w:tmpl w:val="25AC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11DCD"/>
    <w:multiLevelType w:val="multilevel"/>
    <w:tmpl w:val="CCA2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354E7"/>
    <w:multiLevelType w:val="multilevel"/>
    <w:tmpl w:val="EE74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5576F"/>
    <w:multiLevelType w:val="multilevel"/>
    <w:tmpl w:val="1E46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B1805"/>
    <w:multiLevelType w:val="multilevel"/>
    <w:tmpl w:val="52F2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20718F"/>
    <w:multiLevelType w:val="multilevel"/>
    <w:tmpl w:val="B2F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55"/>
    <w:rsid w:val="005C312D"/>
    <w:rsid w:val="00723411"/>
    <w:rsid w:val="00930955"/>
    <w:rsid w:val="00F8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0C09"/>
  <w15:chartTrackingRefBased/>
  <w15:docId w15:val="{910869CE-6D4B-4B6C-B96A-D9FAA906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309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3095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93095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930955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30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250507A</dc:creator>
  <cp:keywords/>
  <dc:description/>
  <cp:lastModifiedBy>250507A</cp:lastModifiedBy>
  <cp:revision>2</cp:revision>
  <dcterms:created xsi:type="dcterms:W3CDTF">2026-02-03T06:17:00Z</dcterms:created>
  <dcterms:modified xsi:type="dcterms:W3CDTF">2026-02-03T06:18:00Z</dcterms:modified>
</cp:coreProperties>
</file>